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101bis</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R4-2201334</w:t>
      </w:r>
    </w:p>
    <w:p>
      <w:pPr>
        <w:pStyle w:val="53"/>
        <w:keepNext/>
        <w:keepLines/>
        <w:pageBreakBefore w:val="0"/>
        <w:widowControl/>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Jan</w:t>
      </w:r>
      <w:bookmarkStart w:id="5" w:name="_GoBack"/>
      <w:bookmarkEnd w:id="5"/>
      <w:r>
        <w:rPr>
          <w:rFonts w:ascii="Arial" w:hAnsi="Arial" w:eastAsia="宋体"/>
          <w:b/>
          <w:color w:val="auto"/>
          <w:sz w:val="24"/>
          <w:szCs w:val="24"/>
          <w:lang w:eastAsia="zh-CN"/>
        </w:rPr>
        <w:t>. 1</w:t>
      </w:r>
      <w:r>
        <w:rPr>
          <w:rFonts w:hint="eastAsia" w:eastAsia="宋体"/>
          <w:b/>
          <w:color w:val="auto"/>
          <w:sz w:val="24"/>
          <w:szCs w:val="24"/>
          <w:lang w:val="en-US" w:eastAsia="zh-CN"/>
        </w:rPr>
        <w:t>7</w:t>
      </w:r>
      <w:r>
        <w:rPr>
          <w:rFonts w:ascii="Arial" w:hAnsi="Arial" w:eastAsia="宋体"/>
          <w:b/>
          <w:color w:val="auto"/>
          <w:sz w:val="24"/>
          <w:szCs w:val="24"/>
          <w:lang w:eastAsia="zh-CN"/>
        </w:rPr>
        <w:t>-</w:t>
      </w:r>
      <w:r>
        <w:rPr>
          <w:rFonts w:hint="eastAsia" w:eastAsia="宋体"/>
          <w:b/>
          <w:color w:val="auto"/>
          <w:sz w:val="24"/>
          <w:szCs w:val="24"/>
          <w:lang w:val="en-US" w:eastAsia="zh-CN"/>
        </w:rPr>
        <w:t>25</w:t>
      </w:r>
      <w:r>
        <w:rPr>
          <w:rFonts w:ascii="Arial" w:hAnsi="Arial" w:eastAsia="宋体"/>
          <w:b/>
          <w:color w:val="auto"/>
          <w:sz w:val="24"/>
          <w:szCs w:val="24"/>
          <w:lang w:eastAsia="zh-CN"/>
        </w:rPr>
        <w:t>, 202</w:t>
      </w:r>
      <w:r>
        <w:rPr>
          <w:rFonts w:hint="eastAsia" w:eastAsia="宋体"/>
          <w:b/>
          <w:color w:val="auto"/>
          <w:sz w:val="24"/>
          <w:szCs w:val="24"/>
          <w:lang w:val="en-US" w:eastAsia="zh-CN"/>
        </w:rPr>
        <w:t>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cs="Arial"/>
          <w:b w:val="0"/>
          <w:bCs/>
          <w:sz w:val="20"/>
          <w:szCs w:val="20"/>
          <w:highlight w:val="none"/>
          <w:lang w:val="en-US" w:eastAsia="zh-CN"/>
        </w:rPr>
        <w:t>Further d</w:t>
      </w:r>
      <w:r>
        <w:rPr>
          <w:rFonts w:hint="eastAsia" w:ascii="Arial" w:hAnsi="Arial" w:cs="Arial"/>
          <w:b w:val="0"/>
          <w:bCs/>
          <w:sz w:val="20"/>
          <w:szCs w:val="20"/>
        </w:rPr>
        <w:t>iscussion on increase UE maximum power for NR uplink inter band CA</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5.35.2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RAN #93e meeting, A new WID [1] was approved for increasing UE power high limit for CA and DC, in which the objectives are: </w:t>
      </w:r>
    </w:p>
    <w:p>
      <w:pPr>
        <w:keepNext/>
        <w:keepLines/>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i/>
          <w:iCs/>
          <w:sz w:val="20"/>
          <w:lang w:eastAsia="zh-CN"/>
        </w:rPr>
      </w:pPr>
      <w:r>
        <w:rPr>
          <w:rFonts w:ascii="Times New Roman" w:hAnsi="Times New Roman" w:eastAsia="Times New Roman" w:cs="Times New Roman"/>
          <w:i/>
          <w:iCs/>
          <w:sz w:val="20"/>
          <w:lang w:eastAsia="en-GB"/>
        </w:rPr>
        <w:t>The objective</w:t>
      </w:r>
      <w:r>
        <w:rPr>
          <w:rFonts w:hint="eastAsia" w:ascii="Times New Roman" w:hAnsi="Times New Roman" w:eastAsia="Times New Roman" w:cs="Times New Roman"/>
          <w:i/>
          <w:iCs/>
          <w:sz w:val="20"/>
          <w:lang w:eastAsia="en-GB"/>
        </w:rPr>
        <w:t>s</w:t>
      </w:r>
      <w:r>
        <w:rPr>
          <w:rFonts w:ascii="Times New Roman" w:hAnsi="Times New Roman" w:eastAsia="Times New Roman" w:cs="Times New Roman"/>
          <w:i/>
          <w:iCs/>
          <w:sz w:val="20"/>
          <w:lang w:eastAsia="en-GB"/>
        </w:rPr>
        <w:t xml:space="preserve"> of the </w:t>
      </w:r>
      <w:r>
        <w:rPr>
          <w:rFonts w:hint="eastAsia" w:ascii="Times New Roman" w:hAnsi="Times New Roman" w:eastAsia="Times New Roman" w:cs="Times New Roman"/>
          <w:i/>
          <w:iCs/>
          <w:sz w:val="20"/>
          <w:lang w:eastAsia="en-GB"/>
        </w:rPr>
        <w:t>core part are as follows:</w:t>
      </w:r>
    </w:p>
    <w:p>
      <w:pPr>
        <w:keepNext/>
        <w:keepLines/>
        <w:pageBreakBefore w:val="0"/>
        <w:widowControl/>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Times New Roman" w:cs="Times New Roman"/>
          <w:i/>
          <w:iCs/>
          <w:sz w:val="20"/>
          <w:lang w:eastAsia="zh-CN"/>
        </w:rPr>
      </w:pPr>
      <w:r>
        <w:rPr>
          <w:rFonts w:hint="eastAsia" w:ascii="Times New Roman" w:hAnsi="Times New Roman" w:eastAsia="宋体" w:cs="Times New Roman"/>
          <w:i/>
          <w:iCs/>
          <w:sz w:val="20"/>
          <w:lang w:eastAsia="zh-CN"/>
        </w:rPr>
        <w:t xml:space="preserve">Consider the two options and study the </w:t>
      </w:r>
      <w:r>
        <w:rPr>
          <w:rFonts w:ascii="Times New Roman" w:hAnsi="Times New Roman" w:eastAsia="宋体" w:cs="Times New Roman"/>
          <w:i/>
          <w:iCs/>
          <w:sz w:val="20"/>
          <w:lang w:eastAsia="zh-CN"/>
        </w:rPr>
        <w:t>feasibility</w:t>
      </w:r>
      <w:r>
        <w:rPr>
          <w:rFonts w:hint="eastAsia" w:ascii="Times New Roman" w:hAnsi="Times New Roman" w:eastAsia="宋体" w:cs="Times New Roman"/>
          <w:i/>
          <w:iCs/>
          <w:sz w:val="20"/>
          <w:lang w:eastAsia="zh-CN"/>
        </w:rPr>
        <w:t xml:space="preserve"> and impacts for option 1.</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Option 1: Improvement on power high limit</w:t>
      </w:r>
    </w:p>
    <w:p>
      <w:pPr>
        <w:keepNext/>
        <w:keepLines/>
        <w:pageBreakBefore w:val="0"/>
        <w:widowControl/>
        <w:numPr>
          <w:ilvl w:val="2"/>
          <w:numId w:val="15"/>
        </w:numPr>
        <w:kinsoku/>
        <w:wordWrap/>
        <w:overflowPunct/>
        <w:topLinePunct w:val="0"/>
        <w:autoSpaceDE/>
        <w:autoSpaceDN/>
        <w:bidi w:val="0"/>
        <w:adjustRightInd/>
        <w:snapToGrid/>
        <w:ind w:left="1985" w:hanging="284"/>
        <w:jc w:val="both"/>
        <w:textAlignment w:val="auto"/>
        <w:rPr>
          <w:rFonts w:ascii="Times New Roman" w:hAnsi="Times New Roman" w:cs="Times New Roman" w:eastAsiaTheme="minorEastAsia"/>
          <w:i/>
          <w:iCs/>
          <w:sz w:val="20"/>
          <w:lang w:val="en-US" w:eastAsia="zh-CN"/>
        </w:rPr>
      </w:pPr>
      <w:r>
        <w:rPr>
          <w:rFonts w:ascii="Times New Roman" w:hAnsi="Times New Roman" w:cs="Times New Roman" w:eastAsiaTheme="minorEastAsia"/>
          <w:i/>
          <w:iCs/>
          <w:sz w:val="20"/>
          <w:lang w:val="en-US" w:eastAsia="zh-CN"/>
        </w:rPr>
        <w:t xml:space="preserve">Allow UE to transmit the sum of the individual rated PA power classes by lifting the restriction from the Power Class for UL inter band CA or DC, i.e., </w:t>
      </w:r>
      <w:r>
        <w:rPr>
          <w:rFonts w:hint="eastAsia" w:ascii="Times New Roman" w:hAnsi="Times New Roman" w:eastAsia="宋体" w:cs="Times New Roman"/>
          <w:i/>
          <w:iCs/>
          <w:sz w:val="20"/>
          <w:lang w:val="en-US" w:eastAsia="zh-CN"/>
        </w:rPr>
        <w:t>P</w:t>
      </w:r>
      <w:r>
        <w:rPr>
          <w:rFonts w:hint="eastAsia" w:ascii="Times New Roman" w:hAnsi="Times New Roman" w:eastAsia="宋体" w:cs="Times New Roman"/>
          <w:i/>
          <w:iCs/>
          <w:sz w:val="20"/>
          <w:vertAlign w:val="subscript"/>
          <w:lang w:val="en-US" w:eastAsia="zh-CN"/>
        </w:rPr>
        <w:t>PowerClass,CA</w:t>
      </w:r>
      <w:r>
        <w:rPr>
          <w:rFonts w:hint="eastAsia" w:ascii="Times New Roman" w:hAnsi="Times New Roman" w:eastAsia="宋体" w:cs="Times New Roman"/>
          <w:i/>
          <w:iCs/>
          <w:sz w:val="20"/>
          <w:lang w:val="en-US" w:eastAsia="zh-CN"/>
        </w:rPr>
        <w:t xml:space="preserve"> </w:t>
      </w:r>
      <w:r>
        <w:rPr>
          <w:rFonts w:hint="eastAsia" w:ascii="Times New Roman" w:hAnsi="Times New Roman" w:cs="Times New Roman" w:eastAsiaTheme="minorEastAsia"/>
          <w:i/>
          <w:iCs/>
          <w:sz w:val="20"/>
          <w:lang w:val="en-US" w:eastAsia="zh-CN"/>
        </w:rPr>
        <w:t xml:space="preserve">is replaced with </w:t>
      </w:r>
      <w:r>
        <w:rPr>
          <w:rFonts w:hint="eastAsia" w:ascii="Times New Roman" w:hAnsi="Times New Roman" w:eastAsia="宋体" w:cs="Times New Roman"/>
          <w:i/>
          <w:iCs/>
          <w:sz w:val="20"/>
          <w:lang w:val="en-US" w:eastAsia="zh-CN"/>
        </w:rPr>
        <w:t>10</w:t>
      </w:r>
      <w:r>
        <w:rPr>
          <w:rFonts w:ascii="Times New Roman" w:hAnsi="Times New Roman" w:eastAsia="宋体" w:cs="Times New Roman"/>
          <w:i/>
          <w:iCs/>
          <w:sz w:val="20"/>
          <w:lang w:val="en-US" w:eastAsia="zh-CN"/>
        </w:rPr>
        <w:t>*</w:t>
      </w:r>
      <w:r>
        <w:rPr>
          <w:rFonts w:hint="eastAsia" w:ascii="Times New Roman" w:hAnsi="Times New Roman" w:eastAsia="宋体" w:cs="Times New Roman"/>
          <w:i/>
          <w:iCs/>
          <w:sz w:val="20"/>
          <w:lang w:val="en-US" w:eastAsia="zh-CN"/>
        </w:rPr>
        <w:t>log10∑ p</w:t>
      </w:r>
      <w:r>
        <w:rPr>
          <w:rFonts w:hint="eastAsia" w:ascii="Times New Roman" w:hAnsi="Times New Roman" w:eastAsia="宋体" w:cs="Times New Roman"/>
          <w:i/>
          <w:iCs/>
          <w:sz w:val="20"/>
          <w:vertAlign w:val="subscript"/>
          <w:lang w:val="en-US" w:eastAsia="zh-CN"/>
        </w:rPr>
        <w:t>PowerClass,c</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Option 2: Definition of a new power class for CA and DC</w:t>
      </w:r>
    </w:p>
    <w:p>
      <w:pPr>
        <w:keepNext/>
        <w:keepLines/>
        <w:pageBreakBefore w:val="0"/>
        <w:widowControl/>
        <w:numPr>
          <w:ilvl w:val="2"/>
          <w:numId w:val="15"/>
        </w:numPr>
        <w:kinsoku/>
        <w:wordWrap/>
        <w:overflowPunct/>
        <w:topLinePunct w:val="0"/>
        <w:autoSpaceDE/>
        <w:autoSpaceDN/>
        <w:bidi w:val="0"/>
        <w:adjustRightInd/>
        <w:snapToGrid/>
        <w:ind w:left="1985" w:hanging="284"/>
        <w:jc w:val="both"/>
        <w:textAlignment w:val="auto"/>
        <w:rPr>
          <w:rFonts w:ascii="Times New Roman" w:hAnsi="Times New Roman" w:eastAsia="Times New Roman" w:cs="Times New Roman"/>
          <w:i/>
          <w:iCs/>
          <w:sz w:val="20"/>
          <w:lang w:val="en-US" w:eastAsia="zh-CN"/>
        </w:rPr>
      </w:pPr>
      <w:r>
        <w:rPr>
          <w:rFonts w:ascii="Times New Roman" w:hAnsi="Times New Roman" w:eastAsia="Times New Roman" w:cs="Times New Roman"/>
          <w:i/>
          <w:iCs/>
          <w:sz w:val="20"/>
          <w:lang w:val="en-US" w:eastAsia="zh-CN"/>
        </w:rPr>
        <w:t>Introduce new power classes with necessary requirements</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 xml:space="preserve">To respect the previous RAN4 </w:t>
      </w:r>
      <w:r>
        <w:rPr>
          <w:rFonts w:hint="eastAsia" w:ascii="Times New Roman" w:hAnsi="Times New Roman" w:eastAsia="宋体" w:cs="Times New Roman"/>
          <w:i/>
          <w:iCs/>
          <w:sz w:val="20"/>
          <w:lang w:eastAsia="zh-CN"/>
        </w:rPr>
        <w:t>agreement</w:t>
      </w:r>
      <w:r>
        <w:rPr>
          <w:rFonts w:ascii="Times New Roman" w:hAnsi="Times New Roman" w:eastAsia="宋体" w:cs="Times New Roman"/>
          <w:i/>
          <w:iCs/>
          <w:sz w:val="20"/>
          <w:lang w:eastAsia="zh-CN"/>
        </w:rPr>
        <w:t xml:space="preserve">, option 1 and option 2 are prioritized, </w:t>
      </w:r>
      <w:r>
        <w:rPr>
          <w:rFonts w:hint="eastAsia" w:ascii="Times New Roman" w:hAnsi="Times New Roman" w:eastAsia="宋体" w:cs="Times New Roman"/>
          <w:i/>
          <w:iCs/>
          <w:sz w:val="20"/>
          <w:lang w:eastAsia="zh-CN"/>
        </w:rPr>
        <w:t>and</w:t>
      </w:r>
      <w:r>
        <w:rPr>
          <w:rFonts w:ascii="Times New Roman" w:hAnsi="Times New Roman" w:eastAsia="宋体" w:cs="Times New Roman"/>
          <w:i/>
          <w:iCs/>
          <w:sz w:val="20"/>
          <w:lang w:eastAsia="zh-CN"/>
        </w:rPr>
        <w:t xml:space="preserve"> other option </w:t>
      </w:r>
      <w:r>
        <w:rPr>
          <w:rFonts w:hint="eastAsia" w:ascii="Times New Roman" w:hAnsi="Times New Roman" w:eastAsia="宋体" w:cs="Times New Roman"/>
          <w:i/>
          <w:iCs/>
          <w:sz w:val="20"/>
          <w:lang w:eastAsia="zh-CN"/>
        </w:rPr>
        <w:t>is</w:t>
      </w:r>
      <w:r>
        <w:rPr>
          <w:rFonts w:ascii="Times New Roman" w:hAnsi="Times New Roman" w:eastAsia="宋体" w:cs="Times New Roman"/>
          <w:i/>
          <w:iCs/>
          <w:sz w:val="20"/>
          <w:lang w:eastAsia="zh-CN"/>
        </w:rPr>
        <w:t xml:space="preserve"> not precluded if </w:t>
      </w:r>
      <w:r>
        <w:rPr>
          <w:rFonts w:hint="eastAsia" w:ascii="Times New Roman" w:hAnsi="Times New Roman" w:eastAsia="宋体" w:cs="Times New Roman"/>
          <w:i/>
          <w:iCs/>
          <w:sz w:val="20"/>
          <w:lang w:eastAsia="zh-CN"/>
        </w:rPr>
        <w:t>it is</w:t>
      </w:r>
      <w:r>
        <w:rPr>
          <w:rFonts w:ascii="Times New Roman" w:hAnsi="Times New Roman" w:eastAsia="宋体" w:cs="Times New Roman"/>
          <w:i/>
          <w:iCs/>
          <w:sz w:val="20"/>
          <w:lang w:eastAsia="zh-CN"/>
        </w:rPr>
        <w:t xml:space="preserve"> justified.</w:t>
      </w:r>
    </w:p>
    <w:p>
      <w:pPr>
        <w:keepNext/>
        <w:keepLines/>
        <w:pageBreakBefore w:val="0"/>
        <w:widowControl/>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Times New Roman" w:cs="Times New Roman"/>
          <w:i/>
          <w:iCs/>
          <w:sz w:val="20"/>
          <w:lang w:eastAsia="zh-CN"/>
        </w:rPr>
      </w:pPr>
      <w:r>
        <w:rPr>
          <w:rFonts w:hint="eastAsia" w:ascii="Times New Roman" w:hAnsi="Times New Roman" w:eastAsia="宋体" w:cs="Times New Roman"/>
          <w:i/>
          <w:iCs/>
          <w:sz w:val="20"/>
          <w:lang w:eastAsia="zh-CN"/>
        </w:rPr>
        <w:t>If the consensus for 1) is option 1, then s</w:t>
      </w:r>
      <w:r>
        <w:rPr>
          <w:rFonts w:ascii="Times New Roman" w:hAnsi="Times New Roman" w:eastAsia="Times New Roman" w:cs="Times New Roman"/>
          <w:i/>
          <w:iCs/>
          <w:sz w:val="20"/>
          <w:lang w:eastAsia="zh-CN"/>
        </w:rPr>
        <w:t xml:space="preserve">pecify higher maximum output power for dual PA equipped UE’s for </w:t>
      </w:r>
      <w:r>
        <w:rPr>
          <w:rFonts w:hint="eastAsia" w:ascii="Times New Roman" w:hAnsi="Times New Roman" w:eastAsia="宋体" w:cs="Times New Roman"/>
          <w:i/>
          <w:iCs/>
          <w:sz w:val="20"/>
          <w:lang w:eastAsia="zh-CN"/>
        </w:rPr>
        <w:t>CA and DC</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Replace the power class with sum or modified sum in P</w:t>
      </w:r>
      <w:r>
        <w:rPr>
          <w:rFonts w:ascii="Times New Roman" w:hAnsi="Times New Roman" w:eastAsia="宋体" w:cs="Times New Roman"/>
          <w:i/>
          <w:iCs/>
          <w:sz w:val="20"/>
          <w:vertAlign w:val="subscript"/>
          <w:lang w:eastAsia="zh-CN"/>
        </w:rPr>
        <w:t>CMAX_H</w:t>
      </w:r>
      <w:r>
        <w:rPr>
          <w:rFonts w:hint="eastAsia" w:ascii="Times New Roman" w:hAnsi="Times New Roman" w:eastAsia="宋体" w:cs="Times New Roman"/>
          <w:i/>
          <w:iCs/>
          <w:sz w:val="20"/>
          <w:vertAlign w:val="subscript"/>
          <w:lang w:eastAsia="zh-CN"/>
        </w:rPr>
        <w:t xml:space="preserve"> </w:t>
      </w:r>
      <w:r>
        <w:rPr>
          <w:rFonts w:hint="eastAsia" w:ascii="Times New Roman" w:hAnsi="Times New Roman" w:eastAsia="宋体" w:cs="Times New Roman"/>
          <w:i/>
          <w:iCs/>
          <w:sz w:val="20"/>
          <w:lang w:eastAsia="zh-CN"/>
        </w:rPr>
        <w:t>in CA/DC</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All associated core requirements are also to be specified</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SAR mechanisms are modified, if needed, to allow for higher transmit power</w:t>
      </w:r>
    </w:p>
    <w:p>
      <w:pPr>
        <w:keepNext/>
        <w:keepLines/>
        <w:pageBreakBefore w:val="0"/>
        <w:widowControl/>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 xml:space="preserve">Example </w:t>
      </w:r>
      <w:r>
        <w:rPr>
          <w:rFonts w:ascii="Times New Roman" w:hAnsi="Times New Roman" w:eastAsia="宋体" w:cs="Times New Roman"/>
          <w:i/>
          <w:iCs/>
          <w:sz w:val="20"/>
          <w:lang w:eastAsia="zh-CN"/>
        </w:rPr>
        <w:t>combination</w:t>
      </w:r>
      <w:r>
        <w:rPr>
          <w:rFonts w:hint="eastAsia" w:ascii="Times New Roman" w:hAnsi="Times New Roman" w:eastAsia="宋体" w:cs="Times New Roman"/>
          <w:i/>
          <w:iCs/>
          <w:sz w:val="20"/>
          <w:lang w:eastAsia="zh-CN"/>
        </w:rPr>
        <w:t xml:space="preserve"> as CA_n1A-n78A (23dBm+26dBm) is considered when specifying the band-</w:t>
      </w:r>
      <w:r>
        <w:rPr>
          <w:rFonts w:ascii="Times New Roman" w:hAnsi="Times New Roman" w:eastAsia="宋体" w:cs="Times New Roman"/>
          <w:i/>
          <w:iCs/>
          <w:sz w:val="20"/>
          <w:lang w:eastAsia="zh-CN"/>
        </w:rPr>
        <w:t>combination</w:t>
      </w:r>
      <w:r>
        <w:rPr>
          <w:rFonts w:hint="eastAsia" w:ascii="Times New Roman" w:hAnsi="Times New Roman" w:eastAsia="宋体" w:cs="Times New Roman"/>
          <w:i/>
          <w:iCs/>
          <w:sz w:val="20"/>
          <w:lang w:eastAsia="zh-CN"/>
        </w:rPr>
        <w:t xml:space="preserve"> specific core requirements.</w:t>
      </w:r>
    </w:p>
    <w:p>
      <w:pPr>
        <w:keepNext/>
        <w:keepLines/>
        <w:pageBreakBefore w:val="0"/>
        <w:widowControl/>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T</w:t>
      </w:r>
      <w:r>
        <w:rPr>
          <w:rFonts w:ascii="Times New Roman" w:hAnsi="Times New Roman" w:eastAsia="宋体" w:cs="Times New Roman"/>
          <w:i/>
          <w:iCs/>
          <w:sz w:val="20"/>
          <w:lang w:eastAsia="zh-CN"/>
        </w:rPr>
        <w:t xml:space="preserve">he target scenario is inter-band CA </w:t>
      </w:r>
      <w:r>
        <w:rPr>
          <w:rFonts w:hint="eastAsia" w:ascii="Times New Roman" w:hAnsi="Times New Roman" w:eastAsia="宋体" w:cs="Times New Roman"/>
          <w:i/>
          <w:iCs/>
          <w:sz w:val="20"/>
          <w:lang w:eastAsia="zh-CN"/>
        </w:rPr>
        <w:t xml:space="preserve">and </w:t>
      </w:r>
      <w:r>
        <w:rPr>
          <w:rFonts w:ascii="Times New Roman" w:hAnsi="Times New Roman" w:eastAsia="Times New Roman" w:cs="Times New Roman"/>
          <w:i/>
          <w:iCs/>
          <w:sz w:val="20"/>
          <w:lang w:val="en-US" w:eastAsia="zh-CN"/>
        </w:rPr>
        <w:t xml:space="preserve">inter-band </w:t>
      </w:r>
      <w:r>
        <w:rPr>
          <w:rFonts w:ascii="Times New Roman" w:hAnsi="Times New Roman" w:eastAsia="宋体" w:cs="Times New Roman"/>
          <w:i/>
          <w:iCs/>
          <w:sz w:val="20"/>
          <w:lang w:eastAsia="zh-CN"/>
        </w:rPr>
        <w:t>DC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Actually, this issue have already been discussed without a specific WID in RAN4 for a long time, but no final agreements were achieved, instead two options are down-selected, which are:</w:t>
      </w:r>
    </w:p>
    <w:p>
      <w:pPr>
        <w:keepNext/>
        <w:keepLines/>
        <w:pageBreakBefore w:val="0"/>
        <w:widowControl/>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1: Remove P</w:t>
      </w:r>
      <w:r>
        <w:rPr>
          <w:rFonts w:ascii="Times New Roman" w:hAnsi="Times New Roman" w:eastAsia="宋体" w:cs="Times New Roman"/>
          <w:i/>
          <w:iCs/>
          <w:sz w:val="20"/>
          <w:vertAlign w:val="subscript"/>
          <w:lang w:eastAsia="zh-CN"/>
        </w:rPr>
        <w:t>PowerClass</w:t>
      </w:r>
      <w:r>
        <w:rPr>
          <w:rFonts w:ascii="Times New Roman" w:hAnsi="Times New Roman" w:eastAsia="宋体" w:cs="Times New Roman"/>
          <w:i/>
          <w:iCs/>
          <w:sz w:val="20"/>
          <w:lang w:eastAsia="zh-CN"/>
        </w:rPr>
        <w:t xml:space="preserve"> constraint from P</w:t>
      </w:r>
      <w:r>
        <w:rPr>
          <w:rFonts w:ascii="Times New Roman" w:hAnsi="Times New Roman" w:eastAsia="宋体" w:cs="Times New Roman"/>
          <w:i/>
          <w:iCs/>
          <w:sz w:val="20"/>
          <w:vertAlign w:val="subscript"/>
          <w:lang w:eastAsia="zh-CN"/>
        </w:rPr>
        <w:t>CMAX_H</w:t>
      </w:r>
    </w:p>
    <w:p>
      <w:pPr>
        <w:keepNext/>
        <w:keepLines/>
        <w:pageBreakBefore w:val="0"/>
        <w:widowControl/>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2: Replace P</w:t>
      </w:r>
      <w:r>
        <w:rPr>
          <w:rFonts w:ascii="Times New Roman" w:hAnsi="Times New Roman" w:eastAsia="宋体" w:cs="Times New Roman"/>
          <w:i/>
          <w:iCs/>
          <w:sz w:val="20"/>
          <w:vertAlign w:val="subscript"/>
          <w:lang w:eastAsia="zh-CN"/>
        </w:rPr>
        <w:t>PowerClass</w:t>
      </w:r>
      <w:r>
        <w:rPr>
          <w:rFonts w:ascii="Times New Roman" w:hAnsi="Times New Roman" w:eastAsia="宋体" w:cs="Times New Roman"/>
          <w:i/>
          <w:iCs/>
          <w:sz w:val="20"/>
          <w:lang w:eastAsia="zh-CN"/>
        </w:rPr>
        <w:t xml:space="preserve">  with sum or modified sum in both P</w:t>
      </w:r>
      <w:r>
        <w:rPr>
          <w:rFonts w:ascii="Times New Roman" w:hAnsi="Times New Roman" w:eastAsia="宋体" w:cs="Times New Roman"/>
          <w:i/>
          <w:iCs/>
          <w:sz w:val="20"/>
          <w:vertAlign w:val="subscript"/>
          <w:lang w:eastAsia="zh-CN"/>
        </w:rPr>
        <w:t>CMAX_H</w:t>
      </w:r>
      <w:r>
        <w:rPr>
          <w:rFonts w:ascii="Times New Roman" w:hAnsi="Times New Roman" w:eastAsia="宋体" w:cs="Times New Roman"/>
          <w:i/>
          <w:iCs/>
          <w:sz w:val="20"/>
          <w:lang w:eastAsia="zh-CN"/>
        </w:rPr>
        <w:t xml:space="preserve"> and P</w:t>
      </w:r>
      <w:r>
        <w:rPr>
          <w:rFonts w:ascii="Times New Roman" w:hAnsi="Times New Roman" w:eastAsia="宋体" w:cs="Times New Roman"/>
          <w:i/>
          <w:iCs/>
          <w:sz w:val="20"/>
          <w:vertAlign w:val="subscript"/>
          <w:lang w:eastAsia="zh-CN"/>
        </w:rPr>
        <w:t>CMAX_L</w:t>
      </w:r>
      <w:r>
        <w:rPr>
          <w:rFonts w:ascii="Times New Roman" w:hAnsi="Times New Roman" w:eastAsia="宋体" w:cs="Times New Roman"/>
          <w:i/>
          <w:iCs/>
          <w:sz w:val="20"/>
          <w:lang w:eastAsia="zh-CN"/>
        </w:rPr>
        <w:t xml:space="preserve"> </w:t>
      </w:r>
    </w:p>
    <w:p>
      <w:pPr>
        <w:keepNext/>
        <w:keepLines/>
        <w:pageBreakBefore w:val="0"/>
        <w:widowControl/>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2a: Define a new power class where the requirements are based on per-band power capability (no need to further define separate MSD requirements)</w:t>
      </w:r>
    </w:p>
    <w:p>
      <w:pPr>
        <w:keepNext/>
        <w:keepLines/>
        <w:pageBreakBefore w:val="0"/>
        <w:widowControl/>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3: Define a new power class per band-combination</w:t>
      </w:r>
    </w:p>
    <w:p>
      <w:pPr>
        <w:keepNext/>
        <w:keepLines/>
        <w:pageBreakBefore w:val="0"/>
        <w:widowControl/>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4: Consider power boosting approach</w:t>
      </w:r>
    </w:p>
    <w:p>
      <w:pPr>
        <w:keepNext/>
        <w:keepLines/>
        <w:pageBreakBefore w:val="0"/>
        <w:widowControl/>
        <w:kinsoku/>
        <w:wordWrap/>
        <w:topLinePunct w:val="0"/>
        <w:bidi w:val="0"/>
        <w:snapToGrid/>
        <w:spacing w:after="120"/>
        <w:ind w:left="1080"/>
        <w:rPr>
          <w:rFonts w:ascii="Times New Roman" w:hAnsi="Times New Roman" w:eastAsia="宋体" w:cs="Times New Roman"/>
          <w:i/>
          <w:iCs/>
          <w:sz w:val="20"/>
          <w:highlight w:val="green"/>
          <w:lang w:val="en-US" w:eastAsia="zh-CN"/>
        </w:rPr>
      </w:pPr>
      <w:r>
        <w:rPr>
          <w:rFonts w:ascii="Times New Roman" w:hAnsi="Times New Roman" w:eastAsia="宋体" w:cs="Times New Roman"/>
          <w:i/>
          <w:iCs/>
          <w:sz w:val="20"/>
          <w:highlight w:val="green"/>
          <w:lang w:eastAsia="zh-CN"/>
        </w:rPr>
        <w:t xml:space="preserve">Agreement: </w:t>
      </w:r>
      <w:r>
        <w:rPr>
          <w:rFonts w:ascii="Times New Roman" w:hAnsi="Times New Roman" w:eastAsia="宋体" w:cs="Times New Roman"/>
          <w:i/>
          <w:iCs/>
          <w:sz w:val="20"/>
          <w:highlight w:val="green"/>
          <w:lang w:val="en-US" w:eastAsia="zh-CN"/>
        </w:rPr>
        <w:t>Down-select to Option 2 and Option 3</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It can been seen the options 1/2 in the objectives are quite aligned with the options 2/3 in the RAN4</w:t>
      </w:r>
      <w:r>
        <w:rPr>
          <w:rFonts w:hint="default" w:eastAsia="宋体" w:cs="Times New Roman"/>
          <w:i w:val="0"/>
          <w:iCs w:val="0"/>
          <w:sz w:val="20"/>
          <w:szCs w:val="22"/>
          <w:highlight w:val="none"/>
          <w:lang w:val="en-US" w:eastAsia="zh-CN"/>
        </w:rPr>
        <w:t>’</w:t>
      </w:r>
      <w:r>
        <w:rPr>
          <w:rFonts w:hint="eastAsia" w:eastAsia="宋体" w:cs="Times New Roman"/>
          <w:i w:val="0"/>
          <w:iCs w:val="0"/>
          <w:sz w:val="20"/>
          <w:szCs w:val="22"/>
          <w:highlight w:val="none"/>
          <w:lang w:val="en-US" w:eastAsia="zh-CN"/>
        </w:rPr>
        <w:t>s agreements, but which option is agreed is still open.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RAN4 101-e meeting, some of the issues were discussing including the above options, impact on the RF requirements, MSD etc. The agreements were achieved in [2]:</w:t>
      </w:r>
    </w:p>
    <w:p>
      <w:pPr>
        <w:keepNext/>
        <w:keepLines/>
        <w:pageBreakBefore w:val="0"/>
        <w:widowControl/>
        <w:numPr>
          <w:ilvl w:val="0"/>
          <w:numId w:val="17"/>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en-US" w:eastAsia="en-US"/>
        </w:rPr>
      </w:pPr>
      <w:r>
        <w:rPr>
          <w:i/>
          <w:iCs/>
          <w:sz w:val="20"/>
          <w:szCs w:val="20"/>
          <w:lang w:val="en-US" w:eastAsia="en-US"/>
        </w:rPr>
        <w:t>Signaling is needed.  The details of signaling are still FFS.</w:t>
      </w:r>
    </w:p>
    <w:p>
      <w:pPr>
        <w:keepNext/>
        <w:keepLines/>
        <w:pageBreakBefore w:val="0"/>
        <w:widowControl/>
        <w:numPr>
          <w:ilvl w:val="0"/>
          <w:numId w:val="17"/>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en-US" w:eastAsia="en-US"/>
        </w:rPr>
      </w:pPr>
      <w:r>
        <w:rPr>
          <w:i/>
          <w:iCs/>
          <w:sz w:val="20"/>
          <w:szCs w:val="20"/>
          <w:lang w:val="en-US" w:eastAsia="en-US"/>
        </w:rPr>
        <w:t xml:space="preserve">The “sum method” or some variant of it shall be considered and focused on in the study phase </w:t>
      </w:r>
    </w:p>
    <w:p>
      <w:pPr>
        <w:keepNext/>
        <w:keepLines/>
        <w:pageBreakBefore w:val="0"/>
        <w:widowControl/>
        <w:numPr>
          <w:ilvl w:val="0"/>
          <w:numId w:val="17"/>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sv-SE" w:eastAsia="zh-CN"/>
        </w:rPr>
      </w:pPr>
      <w:r>
        <w:rPr>
          <w:i/>
          <w:iCs/>
          <w:sz w:val="20"/>
          <w:szCs w:val="20"/>
          <w:lang w:val="sv-SE" w:eastAsia="zh-CN"/>
        </w:rPr>
        <w:t>Regulatory:  In general, regulatory requirements are per band so there are not expected to be any issues.  However, in some countries there may be regulatory limits on total power.  So, the Pemax_CA (or equivalent mechanism) needs to be in place to limit total power.</w:t>
      </w:r>
    </w:p>
    <w:p>
      <w:pPr>
        <w:keepNext/>
        <w:keepLines/>
        <w:pageBreakBefore w:val="0"/>
        <w:widowControl/>
        <w:numPr>
          <w:ilvl w:val="0"/>
          <w:numId w:val="17"/>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sv-SE" w:eastAsia="zh-CN"/>
        </w:rPr>
      </w:pPr>
      <w:r>
        <w:rPr>
          <w:i/>
          <w:iCs/>
          <w:sz w:val="20"/>
          <w:szCs w:val="20"/>
          <w:lang w:val="sv-SE" w:eastAsia="zh-CN"/>
        </w:rPr>
        <w:t>SAR:  Existing mechanisms of P-MPR and duty cycle reporting are sufficient.  Some wording change may be needed.</w:t>
      </w:r>
    </w:p>
    <w:p>
      <w:pPr>
        <w:keepNext/>
        <w:keepLines/>
        <w:pageBreakBefore w:val="0"/>
        <w:widowControl/>
        <w:numPr>
          <w:ilvl w:val="0"/>
          <w:numId w:val="17"/>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sv-SE" w:eastAsia="zh-CN"/>
        </w:rPr>
      </w:pPr>
      <w:r>
        <w:rPr>
          <w:i/>
          <w:iCs/>
          <w:sz w:val="20"/>
          <w:szCs w:val="20"/>
          <w:lang w:val="sv-SE" w:eastAsia="zh-CN"/>
        </w:rPr>
        <w:t>No impact to RAN1 has been identified so far</w:t>
      </w:r>
    </w:p>
    <w:p>
      <w:pPr>
        <w:keepNext/>
        <w:keepLines/>
        <w:pageBreakBefore w:val="0"/>
        <w:widowControl/>
        <w:numPr>
          <w:ilvl w:val="0"/>
          <w:numId w:val="0"/>
        </w:numPr>
        <w:kinsoku/>
        <w:wordWrap/>
        <w:overflowPunct w:val="0"/>
        <w:topLinePunct w:val="0"/>
        <w:autoSpaceDE w:val="0"/>
        <w:autoSpaceDN w:val="0"/>
        <w:bidi w:val="0"/>
        <w:adjustRightInd w:val="0"/>
        <w:snapToGrid/>
        <w:spacing w:before="0" w:after="120"/>
        <w:contextualSpacing/>
        <w:textAlignment w:val="baseline"/>
        <w:rPr>
          <w:rFonts w:hint="eastAsia"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Still there were some open issues were listed,which are:</w:t>
      </w:r>
    </w:p>
    <w:p>
      <w:pPr>
        <w:keepNext/>
        <w:keepLines/>
        <w:pageBreakBefore w:val="0"/>
        <w:widowControl/>
        <w:numPr>
          <w:ilvl w:val="0"/>
          <w:numId w:val="18"/>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sv-SE" w:eastAsia="zh-CN"/>
        </w:rPr>
      </w:pPr>
      <w:r>
        <w:rPr>
          <w:i/>
          <w:iCs/>
          <w:sz w:val="20"/>
          <w:szCs w:val="20"/>
          <w:lang w:val="en-US" w:eastAsia="en-US"/>
        </w:rPr>
        <w:t>The scope is limited to PC5+PC3, PC3+PC2, and PC2+PC1.5 for Rel-17 where the inter-band CA/DC power class is nominally PC3, PC2, and PC1.5 respectively.  Scalability for future configurations should be considered.</w:t>
      </w:r>
    </w:p>
    <w:p>
      <w:pPr>
        <w:keepNext/>
        <w:keepLines/>
        <w:pageBreakBefore w:val="0"/>
        <w:widowControl/>
        <w:numPr>
          <w:ilvl w:val="0"/>
          <w:numId w:val="18"/>
        </w:numPr>
        <w:kinsoku/>
        <w:wordWrap/>
        <w:overflowPunct/>
        <w:topLinePunct w:val="0"/>
        <w:autoSpaceDE/>
        <w:autoSpaceDN/>
        <w:bidi w:val="0"/>
        <w:adjustRightInd/>
        <w:snapToGrid/>
        <w:spacing w:before="120" w:after="120"/>
        <w:ind w:left="420" w:leftChars="0" w:hanging="420" w:firstLineChars="0"/>
        <w:textAlignment w:val="auto"/>
        <w:rPr>
          <w:i/>
          <w:iCs/>
          <w:sz w:val="20"/>
          <w:szCs w:val="20"/>
          <w:lang w:val="sv-SE" w:eastAsia="zh-CN"/>
        </w:rPr>
      </w:pPr>
      <w:r>
        <w:rPr>
          <w:i/>
          <w:iCs/>
          <w:sz w:val="20"/>
          <w:szCs w:val="20"/>
          <w:lang w:val="sv-SE" w:eastAsia="zh-CN"/>
        </w:rPr>
        <w:t>P</w:t>
      </w:r>
      <w:r>
        <w:rPr>
          <w:i/>
          <w:iCs/>
          <w:sz w:val="20"/>
          <w:szCs w:val="20"/>
          <w:vertAlign w:val="subscript"/>
          <w:lang w:val="sv-SE" w:eastAsia="zh-CN"/>
        </w:rPr>
        <w:t>CMAX_L</w:t>
      </w:r>
      <w:r>
        <w:rPr>
          <w:i/>
          <w:iCs/>
          <w:sz w:val="20"/>
          <w:szCs w:val="20"/>
          <w:lang w:val="sv-SE" w:eastAsia="zh-CN"/>
        </w:rPr>
        <w:t>:</w:t>
      </w:r>
    </w:p>
    <w:p>
      <w:pPr>
        <w:keepNext/>
        <w:keepLines/>
        <w:pageBreakBefore w:val="0"/>
        <w:widowControl/>
        <w:numPr>
          <w:ilvl w:val="0"/>
          <w:numId w:val="18"/>
        </w:numPr>
        <w:kinsoku/>
        <w:wordWrap/>
        <w:overflowPunct/>
        <w:topLinePunct w:val="0"/>
        <w:autoSpaceDE/>
        <w:autoSpaceDN/>
        <w:bidi w:val="0"/>
        <w:adjustRightInd/>
        <w:snapToGrid/>
        <w:spacing w:before="120" w:after="120"/>
        <w:ind w:left="420" w:leftChars="0" w:hanging="420" w:firstLineChars="0"/>
        <w:textAlignment w:val="auto"/>
        <w:rPr>
          <w:rFonts w:hint="default"/>
          <w:i/>
          <w:iCs/>
          <w:sz w:val="20"/>
          <w:szCs w:val="20"/>
          <w:lang w:val="en-US" w:eastAsia="zh-CN"/>
        </w:rPr>
      </w:pPr>
      <w:r>
        <w:rPr>
          <w:i/>
          <w:iCs/>
          <w:sz w:val="20"/>
          <w:szCs w:val="20"/>
          <w:lang w:val="sv-SE" w:eastAsia="zh-CN"/>
        </w:rPr>
        <w:t>MSD:</w:t>
      </w:r>
    </w:p>
    <w:p>
      <w:pPr>
        <w:keepNext/>
        <w:keepLines/>
        <w:pageBreakBefore w:val="0"/>
        <w:widowControl/>
        <w:numPr>
          <w:ilvl w:val="0"/>
          <w:numId w:val="18"/>
        </w:numPr>
        <w:kinsoku/>
        <w:wordWrap/>
        <w:overflowPunct/>
        <w:topLinePunct w:val="0"/>
        <w:autoSpaceDE/>
        <w:autoSpaceDN/>
        <w:bidi w:val="0"/>
        <w:adjustRightInd/>
        <w:snapToGrid/>
        <w:spacing w:before="120" w:after="120"/>
        <w:ind w:left="420" w:leftChars="0" w:hanging="420" w:firstLineChars="0"/>
        <w:textAlignment w:val="auto"/>
        <w:rPr>
          <w:rFonts w:hint="default"/>
          <w:i/>
          <w:iCs/>
          <w:sz w:val="20"/>
          <w:szCs w:val="20"/>
          <w:lang w:val="en-US" w:eastAsia="zh-CN"/>
        </w:rPr>
      </w:pPr>
      <w:r>
        <w:rPr>
          <w:i/>
          <w:iCs/>
          <w:sz w:val="20"/>
          <w:szCs w:val="20"/>
          <w:lang w:val="sv-SE" w:eastAsia="zh-CN"/>
        </w:rPr>
        <w:t xml:space="preserve">TxD UE: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paper, we provide some further discussions on these open issues.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b/>
          <w:bCs/>
          <w:sz w:val="20"/>
          <w:u w:val="single"/>
          <w:lang w:val="en-US" w:eastAsia="zh-CN"/>
        </w:rPr>
        <w:t>P</w:t>
      </w:r>
      <w:r>
        <w:rPr>
          <w:b/>
          <w:bCs/>
          <w:sz w:val="20"/>
          <w:u w:val="single"/>
          <w:vertAlign w:val="subscript"/>
          <w:lang w:val="en-US" w:eastAsia="zh-CN"/>
        </w:rPr>
        <w:t>CMAX_L,f,c</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i w:val="0"/>
          <w:iCs w:val="0"/>
          <w:sz w:val="20"/>
          <w:highlight w:val="none"/>
          <w:u w:val="none"/>
          <w:lang w:val="en-US" w:eastAsia="zh-CN"/>
        </w:rPr>
      </w:pPr>
      <w:r>
        <w:rPr>
          <w:rFonts w:hint="eastAsia" w:eastAsia="宋体" w:cs="Times New Roman"/>
          <w:b w:val="0"/>
          <w:bCs w:val="0"/>
          <w:i w:val="0"/>
          <w:iCs w:val="0"/>
          <w:sz w:val="20"/>
          <w:szCs w:val="20"/>
          <w:highlight w:val="none"/>
          <w:u w:val="none"/>
          <w:lang w:val="en-US" w:eastAsia="zh-CN"/>
        </w:rPr>
        <w:t xml:space="preserve">One of the controversial issue was whether or not the increasing of </w:t>
      </w:r>
      <w:r>
        <w:rPr>
          <w:i w:val="0"/>
          <w:iCs w:val="0"/>
          <w:sz w:val="20"/>
          <w:lang w:val="en-US" w:eastAsia="zh-CN"/>
        </w:rPr>
        <w:t>P</w:t>
      </w:r>
      <w:r>
        <w:rPr>
          <w:i w:val="0"/>
          <w:iCs w:val="0"/>
          <w:sz w:val="20"/>
          <w:vertAlign w:val="subscript"/>
          <w:lang w:val="en-US" w:eastAsia="zh-CN"/>
        </w:rPr>
        <w:t>CMAX_L,f,c</w:t>
      </w:r>
      <w:r>
        <w:rPr>
          <w:rFonts w:hint="eastAsia"/>
          <w:i w:val="0"/>
          <w:iCs w:val="0"/>
          <w:sz w:val="20"/>
          <w:vertAlign w:val="subscript"/>
          <w:lang w:val="en-US" w:eastAsia="zh-CN"/>
        </w:rPr>
        <w:t xml:space="preserve"> </w:t>
      </w:r>
      <w:r>
        <w:rPr>
          <w:rFonts w:hint="eastAsia" w:eastAsia="宋体" w:cs="Times New Roman"/>
          <w:b w:val="0"/>
          <w:bCs w:val="0"/>
          <w:i w:val="0"/>
          <w:iCs w:val="0"/>
          <w:sz w:val="20"/>
          <w:szCs w:val="20"/>
          <w:highlight w:val="none"/>
          <w:u w:val="none"/>
          <w:lang w:val="en-US" w:eastAsia="zh-CN"/>
        </w:rPr>
        <w:t xml:space="preserve"> should be considered. Regarding the purpose of this WID, it aims to i</w:t>
      </w:r>
      <w:r>
        <w:rPr>
          <w:rFonts w:hint="eastAsia" w:ascii="Times New Roman" w:hAnsi="Times New Roman" w:eastAsia="宋体" w:cs="Times New Roman"/>
          <w:i w:val="0"/>
          <w:iCs w:val="0"/>
          <w:sz w:val="20"/>
          <w:lang w:eastAsia="zh-CN"/>
        </w:rPr>
        <w:t>mprovement on power high limit</w:t>
      </w:r>
      <w:r>
        <w:rPr>
          <w:rFonts w:hint="eastAsia" w:eastAsia="宋体" w:cs="Times New Roman"/>
          <w:i w:val="0"/>
          <w:iCs w:val="0"/>
          <w:sz w:val="20"/>
          <w:lang w:val="en-US" w:eastAsia="zh-CN"/>
        </w:rPr>
        <w:t xml:space="preserve"> by </w:t>
      </w:r>
      <w:r>
        <w:rPr>
          <w:rFonts w:hint="eastAsia" w:eastAsia="宋体" w:cs="Times New Roman"/>
          <w:b w:val="0"/>
          <w:bCs w:val="0"/>
          <w:i w:val="0"/>
          <w:iCs w:val="0"/>
          <w:sz w:val="20"/>
          <w:szCs w:val="20"/>
          <w:highlight w:val="none"/>
          <w:u w:val="none"/>
          <w:lang w:val="en-US" w:eastAsia="zh-CN"/>
        </w:rPr>
        <w:t xml:space="preserve">lifting the artificial restriction </w:t>
      </w:r>
      <w:r>
        <w:rPr>
          <w:rFonts w:hint="eastAsia" w:ascii="Times New Roman" w:hAnsi="Times New Roman" w:eastAsia="宋体" w:cs="Times New Roman"/>
          <w:i w:val="0"/>
          <w:iCs w:val="0"/>
          <w:sz w:val="20"/>
          <w:highlight w:val="none"/>
          <w:u w:val="none"/>
          <w:lang w:val="en-US" w:eastAsia="zh-CN"/>
        </w:rPr>
        <w:t>from the Power Class for UL inter band CA or DC</w:t>
      </w:r>
      <w:r>
        <w:rPr>
          <w:rFonts w:hint="eastAsia" w:eastAsia="宋体" w:cs="Times New Roman"/>
          <w:i w:val="0"/>
          <w:iCs w:val="0"/>
          <w:sz w:val="20"/>
          <w:highlight w:val="none"/>
          <w:u w:val="none"/>
          <w:lang w:val="en-US" w:eastAsia="zh-CN"/>
        </w:rPr>
        <w:t>, for example allow a PC2 PA to work at its really transmit output power@antenna connector, i.e. 26dBm rather than 23dBm, for a PC2 UL inter-band CA or DC band combination with the power configuration of 23+26dBm.</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In terms of the WF in [2], it seems the options of i</w:t>
      </w:r>
      <w:r>
        <w:rPr>
          <w:rFonts w:ascii="Times New Roman" w:hAnsi="Times New Roman" w:eastAsia="Times New Roman" w:cs="Times New Roman"/>
          <w:i w:val="0"/>
          <w:iCs w:val="0"/>
          <w:sz w:val="20"/>
          <w:lang w:val="en-US" w:eastAsia="zh-CN"/>
        </w:rPr>
        <w:t>ntroduce new power classes with necessary requirements</w:t>
      </w:r>
      <w:r>
        <w:rPr>
          <w:rFonts w:hint="eastAsia" w:eastAsia="Times New Roman" w:cs="Times New Roman"/>
          <w:i w:val="0"/>
          <w:iCs w:val="0"/>
          <w:sz w:val="20"/>
          <w:lang w:val="en-US" w:eastAsia="zh-CN"/>
        </w:rPr>
        <w:t xml:space="preserve"> was excluded. In addition, it seems there are no argument for increasing of  </w:t>
      </w:r>
      <w:r>
        <w:rPr>
          <w:i w:val="0"/>
          <w:iCs w:val="0"/>
          <w:sz w:val="20"/>
          <w:lang w:val="en-US" w:eastAsia="zh-CN"/>
        </w:rPr>
        <w:t>P</w:t>
      </w:r>
      <w:r>
        <w:rPr>
          <w:i w:val="0"/>
          <w:iCs w:val="0"/>
          <w:sz w:val="20"/>
          <w:vertAlign w:val="subscript"/>
          <w:lang w:val="en-US" w:eastAsia="zh-CN"/>
        </w:rPr>
        <w:t>CMAX_</w:t>
      </w:r>
      <w:r>
        <w:rPr>
          <w:rFonts w:hint="eastAsia"/>
          <w:i w:val="0"/>
          <w:iCs w:val="0"/>
          <w:sz w:val="20"/>
          <w:vertAlign w:val="subscript"/>
          <w:lang w:val="en-US" w:eastAsia="zh-CN"/>
        </w:rPr>
        <w:t>H</w:t>
      </w:r>
      <w:r>
        <w:rPr>
          <w:i w:val="0"/>
          <w:iCs w:val="0"/>
          <w:sz w:val="20"/>
          <w:vertAlign w:val="subscript"/>
          <w:lang w:val="en-US" w:eastAsia="zh-CN"/>
        </w:rPr>
        <w:t>,f,c</w:t>
      </w:r>
      <w:r>
        <w:rPr>
          <w:rFonts w:hint="eastAsia"/>
          <w:i w:val="0"/>
          <w:iCs w:val="0"/>
          <w:sz w:val="20"/>
          <w:vertAlign w:val="subscript"/>
          <w:lang w:val="en-US" w:eastAsia="zh-CN"/>
        </w:rPr>
        <w:t xml:space="preserve"> ., </w:t>
      </w:r>
      <w:r>
        <w:rPr>
          <w:rFonts w:hint="eastAsia"/>
          <w:i w:val="0"/>
          <w:iCs w:val="0"/>
          <w:sz w:val="20"/>
          <w:vertAlign w:val="baseline"/>
          <w:lang w:val="en-US" w:eastAsia="zh-CN"/>
        </w:rPr>
        <w:t xml:space="preserve">By contrast, some </w:t>
      </w:r>
      <w:r>
        <w:rPr>
          <w:rFonts w:hint="eastAsia" w:eastAsia="Times New Roman" w:cs="Times New Roman"/>
          <w:i w:val="0"/>
          <w:iCs w:val="0"/>
          <w:sz w:val="20"/>
          <w:lang w:val="en-US" w:eastAsia="zh-CN"/>
        </w:rPr>
        <w:t xml:space="preserve">arguments </w:t>
      </w:r>
      <w:r>
        <w:rPr>
          <w:rFonts w:hint="eastAsia"/>
          <w:i w:val="0"/>
          <w:iCs w:val="0"/>
          <w:sz w:val="20"/>
          <w:vertAlign w:val="baseline"/>
          <w:lang w:val="en-US" w:eastAsia="zh-CN"/>
        </w:rPr>
        <w:t xml:space="preserve">for </w:t>
      </w:r>
      <w:r>
        <w:rPr>
          <w:rFonts w:hint="eastAsia" w:eastAsia="Times New Roman" w:cs="Times New Roman"/>
          <w:i w:val="0"/>
          <w:iCs w:val="0"/>
          <w:sz w:val="20"/>
          <w:lang w:val="en-US" w:eastAsia="zh-CN"/>
        </w:rPr>
        <w:t xml:space="preserve">increasing of  </w:t>
      </w:r>
      <w:r>
        <w:rPr>
          <w:i w:val="0"/>
          <w:iCs w:val="0"/>
          <w:sz w:val="20"/>
          <w:lang w:val="en-US" w:eastAsia="zh-CN"/>
        </w:rPr>
        <w:t>P</w:t>
      </w:r>
      <w:r>
        <w:rPr>
          <w:i w:val="0"/>
          <w:iCs w:val="0"/>
          <w:sz w:val="20"/>
          <w:vertAlign w:val="subscript"/>
          <w:lang w:val="en-US" w:eastAsia="zh-CN"/>
        </w:rPr>
        <w:t>CMAX_</w:t>
      </w:r>
      <w:r>
        <w:rPr>
          <w:rFonts w:hint="eastAsia"/>
          <w:i w:val="0"/>
          <w:iCs w:val="0"/>
          <w:sz w:val="20"/>
          <w:vertAlign w:val="subscript"/>
          <w:lang w:val="en-US" w:eastAsia="zh-CN"/>
        </w:rPr>
        <w:t>L</w:t>
      </w:r>
      <w:r>
        <w:rPr>
          <w:i w:val="0"/>
          <w:iCs w:val="0"/>
          <w:sz w:val="20"/>
          <w:vertAlign w:val="subscript"/>
          <w:lang w:val="en-US" w:eastAsia="zh-CN"/>
        </w:rPr>
        <w:t>,f,c</w:t>
      </w:r>
      <w:r>
        <w:rPr>
          <w:rFonts w:hint="eastAsia"/>
          <w:i w:val="0"/>
          <w:iCs w:val="0"/>
          <w:sz w:val="20"/>
          <w:vertAlign w:val="baseli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According to the current RAN2 signalling design, if IE </w:t>
      </w:r>
      <w:r>
        <w:rPr>
          <w:rFonts w:hint="eastAsia" w:eastAsia="宋体" w:cs="Times New Roman"/>
          <w:b w:val="0"/>
          <w:bCs w:val="0"/>
          <w:i/>
          <w:iCs/>
          <w:sz w:val="20"/>
          <w:szCs w:val="20"/>
          <w:highlight w:val="none"/>
          <w:u w:val="none"/>
          <w:lang w:val="en-US" w:eastAsia="zh-CN"/>
        </w:rPr>
        <w:t xml:space="preserve">powerclass </w:t>
      </w:r>
      <w:r>
        <w:rPr>
          <w:rFonts w:hint="eastAsia" w:eastAsia="宋体" w:cs="Times New Roman"/>
          <w:b w:val="0"/>
          <w:bCs w:val="0"/>
          <w:sz w:val="20"/>
          <w:szCs w:val="20"/>
          <w:highlight w:val="none"/>
          <w:u w:val="none"/>
          <w:lang w:val="en-US" w:eastAsia="zh-CN"/>
        </w:rPr>
        <w:t xml:space="preserve">is reported, then the reported </w:t>
      </w:r>
      <w:r>
        <w:rPr>
          <w:rFonts w:hint="eastAsia" w:ascii="Times New Roman" w:hAnsi="Times New Roman" w:eastAsia="宋体" w:cs="Times New Roman"/>
          <w:i w:val="0"/>
          <w:iCs w:val="0"/>
          <w:sz w:val="20"/>
          <w:szCs w:val="20"/>
          <w:highlight w:val="none"/>
          <w:u w:val="none"/>
          <w:lang w:val="en-US" w:eastAsia="zh-CN" w:bidi="ar-SA"/>
        </w:rPr>
        <w:t>power class</w:t>
      </w:r>
      <w:r>
        <w:rPr>
          <w:rFonts w:hint="eastAsia" w:eastAsia="宋体" w:cs="Times New Roman"/>
          <w:i w:val="0"/>
          <w:iCs w:val="0"/>
          <w:sz w:val="20"/>
          <w:szCs w:val="20"/>
          <w:highlight w:val="none"/>
          <w:u w:val="none"/>
          <w:lang w:val="en-US" w:eastAsia="zh-CN" w:bidi="ar-SA"/>
        </w:rPr>
        <w:t xml:space="preserve"> should be applied for this band combination, and </w:t>
      </w:r>
      <w:r>
        <w:rPr>
          <w:rFonts w:hint="eastAsia" w:eastAsia="宋体" w:cs="Times New Roman"/>
          <w:b w:val="0"/>
          <w:bCs w:val="0"/>
          <w:sz w:val="20"/>
          <w:szCs w:val="20"/>
          <w:highlight w:val="none"/>
          <w:u w:val="none"/>
          <w:lang w:val="en-US" w:eastAsia="zh-CN"/>
        </w:rPr>
        <w:t xml:space="preserve">if IE </w:t>
      </w:r>
      <w:r>
        <w:rPr>
          <w:rFonts w:hint="eastAsia" w:eastAsia="宋体" w:cs="Times New Roman"/>
          <w:b w:val="0"/>
          <w:bCs w:val="0"/>
          <w:i/>
          <w:iCs/>
          <w:sz w:val="20"/>
          <w:szCs w:val="20"/>
          <w:highlight w:val="none"/>
          <w:u w:val="none"/>
          <w:lang w:val="en-US" w:eastAsia="zh-CN"/>
        </w:rPr>
        <w:t xml:space="preserve">powerclass </w:t>
      </w:r>
      <w:r>
        <w:rPr>
          <w:rFonts w:hint="eastAsia" w:eastAsia="宋体" w:cs="Times New Roman"/>
          <w:b w:val="0"/>
          <w:bCs w:val="0"/>
          <w:sz w:val="20"/>
          <w:szCs w:val="20"/>
          <w:highlight w:val="none"/>
          <w:u w:val="none"/>
          <w:lang w:val="en-US" w:eastAsia="zh-CN"/>
        </w:rPr>
        <w:t xml:space="preserve">is reported </w:t>
      </w:r>
      <w:r>
        <w:rPr>
          <w:rFonts w:hint="eastAsia" w:eastAsia="Times New Roman" w:cs="Times New Roman"/>
          <w:i w:val="0"/>
          <w:iCs w:val="0"/>
          <w:sz w:val="20"/>
          <w:lang w:val="en-US" w:eastAsia="zh-CN"/>
        </w:rPr>
        <w:t xml:space="preserve">then default power class, i.e. PC3 is applied. </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rPr>
                <w:rFonts w:ascii="Arial" w:hAnsi="Arial" w:eastAsia="Times New Roman" w:cs="Times New Roman"/>
                <w:b/>
                <w:i/>
                <w:iCs w:val="0"/>
                <w:sz w:val="18"/>
                <w:szCs w:val="20"/>
                <w:lang w:val="en-GB" w:eastAsia="en-US" w:bidi="ar-SA"/>
              </w:rPr>
            </w:pPr>
            <w:r>
              <w:rPr>
                <w:rFonts w:ascii="Arial" w:hAnsi="Arial" w:eastAsia="Times New Roman" w:cs="Times New Roman"/>
                <w:b/>
                <w:i/>
                <w:iCs w:val="0"/>
                <w:sz w:val="18"/>
                <w:szCs w:val="20"/>
                <w:lang w:val="en-GB" w:eastAsia="en-US" w:bidi="ar-SA"/>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Per</w:t>
            </w:r>
          </w:p>
        </w:tc>
        <w:tc>
          <w:tcPr>
            <w:tcW w:w="567"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M</w:t>
            </w:r>
          </w:p>
        </w:tc>
        <w:tc>
          <w:tcPr>
            <w:tcW w:w="709"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rPr>
                <w:rFonts w:ascii="Arial" w:hAnsi="Arial" w:eastAsia="等线" w:cs="Times New Roman"/>
                <w:i/>
                <w:iCs w:val="0"/>
                <w:sz w:val="18"/>
                <w:szCs w:val="20"/>
                <w:lang w:val="en-GB" w:eastAsia="en-US" w:bidi="ar-SA"/>
              </w:rPr>
            </w:pPr>
            <w:r>
              <w:rPr>
                <w:rFonts w:ascii="Arial" w:hAnsi="Arial" w:eastAsia="等线" w:cs="Times New Roman"/>
                <w:i/>
                <w:iCs w:val="0"/>
                <w:sz w:val="18"/>
                <w:szCs w:val="20"/>
                <w:lang w:val="en-GB" w:eastAsia="en-US" w:bidi="ar-SA"/>
              </w:rPr>
              <w:t>FDD-TDD</w:t>
            </w:r>
          </w:p>
          <w:p>
            <w:pPr>
              <w:keepNext/>
              <w:keepLines/>
              <w:pageBreakBefore w:val="0"/>
              <w:widowControl/>
              <w:kinsoku/>
              <w:wordWrap/>
              <w:topLinePunct w:val="0"/>
              <w:bidi w:val="0"/>
              <w:spacing w:after="0" w:line="240" w:lineRule="auto"/>
              <w:rPr>
                <w:rFonts w:ascii="Arial" w:hAnsi="Arial" w:eastAsia="等线" w:cs="Times New Roman"/>
                <w:i/>
                <w:iCs w:val="0"/>
                <w:sz w:val="18"/>
                <w:szCs w:val="20"/>
                <w:lang w:val="en-GB" w:eastAsia="en-US" w:bidi="ar-SA"/>
              </w:rPr>
            </w:pPr>
            <w:r>
              <w:rPr>
                <w:rFonts w:ascii="Arial" w:hAnsi="Arial" w:eastAsia="等线" w:cs="Times New Roman"/>
                <w:i/>
                <w:iCs w:val="0"/>
                <w:sz w:val="18"/>
                <w:szCs w:val="20"/>
                <w:lang w:val="en-GB" w:eastAsia="en-US" w:bidi="ar-SA"/>
              </w:rPr>
              <w:t>DIFF</w:t>
            </w:r>
          </w:p>
        </w:tc>
        <w:tc>
          <w:tcPr>
            <w:tcW w:w="728"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FR1-FR2</w:t>
            </w:r>
          </w:p>
          <w:p>
            <w:pPr>
              <w:keepNext/>
              <w:keepLines/>
              <w:pageBreakBefore w:val="0"/>
              <w:widowControl/>
              <w:kinsoku/>
              <w:wordWrap/>
              <w:topLinePunct w:val="0"/>
              <w:bidi w:val="0"/>
              <w:spacing w:after="0" w:line="240" w:lineRule="auto"/>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rPr>
                <w:rFonts w:ascii="Arial" w:hAnsi="Arial" w:eastAsia="Times New Roman" w:cs="Times New Roman"/>
                <w:b/>
                <w:i/>
                <w:iCs w:val="0"/>
                <w:sz w:val="18"/>
                <w:szCs w:val="20"/>
                <w:lang w:val="en-GB" w:eastAsia="ja-JP" w:bidi="ar-SA"/>
              </w:rPr>
            </w:pPr>
            <w:r>
              <w:rPr>
                <w:rFonts w:ascii="Arial" w:hAnsi="Arial" w:eastAsia="Times New Roman" w:cs="Times New Roman"/>
                <w:b/>
                <w:i/>
                <w:iCs w:val="0"/>
                <w:sz w:val="18"/>
                <w:szCs w:val="20"/>
                <w:lang w:val="en-GB" w:eastAsia="en-US" w:bidi="ar-SA"/>
              </w:rPr>
              <w:t>powerClass, powerClass-v1610</w:t>
            </w:r>
          </w:p>
          <w:p>
            <w:pPr>
              <w:keepNext/>
              <w:keepLines/>
              <w:pageBreakBefore w:val="0"/>
              <w:widowControl/>
              <w:kinsoku/>
              <w:wordWrap/>
              <w:topLinePunct w:val="0"/>
              <w:bidi w:val="0"/>
              <w:spacing w:after="0" w:line="240" w:lineRule="auto"/>
              <w:rPr>
                <w:rFonts w:ascii="Arial" w:hAnsi="Arial" w:eastAsia="Times New Roman" w:cs="Times New Roman"/>
                <w:i/>
                <w:iCs w:val="0"/>
                <w:sz w:val="18"/>
                <w:szCs w:val="20"/>
                <w:lang w:val="en-GB" w:eastAsia="en-US" w:bidi="ar-SA"/>
              </w:rPr>
            </w:pPr>
            <w:r>
              <w:rPr>
                <w:rFonts w:ascii="Arial" w:hAnsi="Arial" w:eastAsia="Times New Roman" w:cs="Times New Roman"/>
                <w:i/>
                <w:iCs w:val="0"/>
                <w:sz w:val="18"/>
                <w:szCs w:val="20"/>
                <w:lang w:val="en-GB" w:eastAsia="en-US" w:bidi="ar-SA"/>
              </w:rPr>
              <w:t xml:space="preserve">Indicates power class the UE supports when operating according to this </w:t>
            </w:r>
            <w:r>
              <w:rPr>
                <w:rFonts w:ascii="Arial" w:hAnsi="Arial" w:eastAsia="Times New Roman" w:cs="Times New Roman"/>
                <w:i/>
                <w:iCs w:val="0"/>
                <w:sz w:val="18"/>
                <w:szCs w:val="20"/>
                <w:highlight w:val="yellow"/>
                <w:lang w:val="en-GB" w:eastAsia="en-US" w:bidi="ar-SA"/>
              </w:rPr>
              <w:t>band combination</w:t>
            </w:r>
            <w:r>
              <w:rPr>
                <w:rFonts w:ascii="Arial" w:hAnsi="Arial" w:eastAsia="Times New Roman" w:cs="Times New Roman"/>
                <w:i/>
                <w:iCs w:val="0"/>
                <w:sz w:val="18"/>
                <w:szCs w:val="20"/>
                <w:lang w:val="en-GB" w:eastAsia="en-US" w:bidi="ar-SA"/>
              </w:rPr>
              <w:t xml:space="preserve">. </w:t>
            </w:r>
            <w:r>
              <w:rPr>
                <w:rFonts w:ascii="Arial" w:hAnsi="Arial" w:eastAsia="Times New Roman" w:cs="Times New Roman"/>
                <w:i/>
                <w:iCs w:val="0"/>
                <w:sz w:val="18"/>
                <w:szCs w:val="20"/>
                <w:highlight w:val="yellow"/>
                <w:lang w:val="en-GB" w:eastAsia="en-US" w:bidi="ar-SA"/>
              </w:rPr>
              <w:t>If the field is absent, the UE supports the default power class</w:t>
            </w:r>
            <w:r>
              <w:rPr>
                <w:rFonts w:ascii="Arial" w:hAnsi="Arial" w:eastAsia="Times New Roman" w:cs="Times New Roman"/>
                <w:i/>
                <w:iCs w:val="0"/>
                <w:sz w:val="18"/>
                <w:szCs w:val="20"/>
                <w:lang w:val="en-GB" w:eastAsia="en-US" w:bidi="ar-SA"/>
              </w:rPr>
              <w:t xml:space="preserve">. If this power class is higher than the power class that the UE supports on the individual bands of this band combination (ue-PowerClass in BandNR), the latter determines maximum TX power available in each band. The UE sets the power class parameter only in band combinations that are applicable as specified in </w:t>
            </w:r>
            <w:r>
              <w:rPr>
                <w:rFonts w:ascii="Arial" w:hAnsi="Arial" w:eastAsia="Times New Roman" w:cs="Times New Roman"/>
                <w:bCs/>
                <w:i/>
                <w:iCs w:val="0"/>
                <w:sz w:val="18"/>
                <w:szCs w:val="20"/>
                <w:lang w:val="en-GB" w:eastAsia="en-US" w:bidi="ar-SA"/>
              </w:rPr>
              <w:t xml:space="preserve">TS 38.101-1 [2] and </w:t>
            </w:r>
            <w:r>
              <w:rPr>
                <w:rFonts w:ascii="Arial" w:hAnsi="Arial" w:eastAsia="Times New Roman" w:cs="Times New Roman"/>
                <w:i/>
                <w:iCs w:val="0"/>
                <w:sz w:val="18"/>
                <w:szCs w:val="20"/>
                <w:lang w:val="en-GB" w:eastAsia="en-US" w:bidi="ar-SA"/>
              </w:rPr>
              <w:t>TS 38.101-3 [4].</w:t>
            </w:r>
            <w:r>
              <w:rPr>
                <w:rFonts w:ascii="Arial" w:hAnsi="Arial" w:eastAsia="Times New Roman" w:cs="Times New Roman"/>
                <w:bCs/>
                <w:i/>
                <w:iCs w:val="0"/>
                <w:sz w:val="18"/>
                <w:szCs w:val="20"/>
                <w:lang w:val="en-GB" w:eastAsia="en-US" w:bidi="ar-SA"/>
              </w:rPr>
              <w:t xml:space="preserve"> This capability is not applicable to IAB-MT.</w:t>
            </w:r>
          </w:p>
        </w:tc>
        <w:tc>
          <w:tcPr>
            <w:tcW w:w="709"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BC</w:t>
            </w:r>
          </w:p>
        </w:tc>
        <w:tc>
          <w:tcPr>
            <w:tcW w:w="567"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No</w:t>
            </w:r>
          </w:p>
        </w:tc>
        <w:tc>
          <w:tcPr>
            <w:tcW w:w="709"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等线" w:cs="Times New Roman"/>
                <w:i/>
                <w:iCs w:val="0"/>
                <w:sz w:val="18"/>
                <w:szCs w:val="20"/>
                <w:lang w:val="en-GB" w:eastAsia="en-US" w:bidi="ar-SA"/>
              </w:rPr>
              <w:t>N/A</w:t>
            </w:r>
          </w:p>
        </w:tc>
        <w:tc>
          <w:tcPr>
            <w:tcW w:w="728" w:type="dxa"/>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topLinePunct w:val="0"/>
              <w:bidi w:val="0"/>
              <w:spacing w:after="0" w:line="240" w:lineRule="auto"/>
              <w:jc w:val="center"/>
              <w:rPr>
                <w:rFonts w:ascii="Arial" w:hAnsi="Arial" w:eastAsia="Times New Roman" w:cs="Arial"/>
                <w:i/>
                <w:iCs w:val="0"/>
                <w:sz w:val="18"/>
                <w:szCs w:val="18"/>
                <w:lang w:val="en-GB" w:eastAsia="en-US" w:bidi="ar-SA"/>
              </w:rPr>
            </w:pPr>
            <w:r>
              <w:rPr>
                <w:rFonts w:ascii="Arial" w:hAnsi="Arial" w:eastAsia="Times New Roman" w:cs="Arial"/>
                <w:i/>
                <w:iCs w:val="0"/>
                <w:sz w:val="18"/>
                <w:szCs w:val="18"/>
                <w:lang w:val="en-GB" w:eastAsia="en-US" w:bidi="ar-SA"/>
              </w:rPr>
              <w:t>FR1 only</w:t>
            </w:r>
          </w:p>
        </w:tc>
      </w:tr>
    </w:tbl>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p>
    <w:p>
      <w:pPr>
        <w:keepNext/>
        <w:keepLines/>
        <w:pageBreakBefore w:val="0"/>
        <w:widowControl/>
        <w:numPr>
          <w:ilvl w:val="0"/>
          <w:numId w:val="0"/>
        </w:numPr>
        <w:kinsoku/>
        <w:wordWrap/>
        <w:overflowPunct w:val="0"/>
        <w:topLinePunct w:val="0"/>
        <w:autoSpaceDE w:val="0"/>
        <w:autoSpaceDN w:val="0"/>
        <w:bidi w:val="0"/>
        <w:adjustRightInd w:val="0"/>
        <w:jc w:val="both"/>
        <w:textAlignment w:val="baseline"/>
        <w:rPr>
          <w:rFonts w:hint="eastAsia" w:eastAsia="Times New Roman" w:cs="Times New Roman"/>
          <w:i w:val="0"/>
          <w:iCs w:val="0"/>
          <w:sz w:val="20"/>
          <w:lang w:val="en-US" w:eastAsia="zh-CN"/>
        </w:rPr>
      </w:pPr>
      <w:r>
        <w:rPr>
          <w:rFonts w:hint="eastAsia" w:eastAsia="宋体"/>
          <w:sz w:val="20"/>
          <w:lang w:val="en-US" w:eastAsia="zh-CN" w:bidi="bn-IN"/>
        </w:rPr>
        <w:t>In the P</w:t>
      </w:r>
      <w:r>
        <w:rPr>
          <w:rFonts w:hint="eastAsia" w:eastAsia="宋体"/>
          <w:sz w:val="20"/>
          <w:vertAlign w:val="subscript"/>
          <w:lang w:val="en-US" w:eastAsia="zh-CN" w:bidi="bn-IN"/>
        </w:rPr>
        <w:t>cmax,L</w:t>
      </w:r>
      <w:r>
        <w:rPr>
          <w:rFonts w:hint="eastAsia" w:eastAsia="宋体"/>
          <w:sz w:val="20"/>
          <w:lang w:val="en-US" w:eastAsia="zh-CN" w:bidi="bn-IN"/>
        </w:rPr>
        <w:t xml:space="preserve"> and P</w:t>
      </w:r>
      <w:r>
        <w:rPr>
          <w:rFonts w:hint="eastAsia" w:eastAsia="宋体"/>
          <w:sz w:val="20"/>
          <w:vertAlign w:val="subscript"/>
          <w:lang w:val="en-US" w:eastAsia="zh-CN" w:bidi="bn-IN"/>
        </w:rPr>
        <w:t>cmax,H</w:t>
      </w:r>
      <w:r>
        <w:rPr>
          <w:rFonts w:hint="eastAsia" w:eastAsia="宋体"/>
          <w:sz w:val="20"/>
          <w:lang w:val="en-US" w:eastAsia="zh-CN" w:bidi="bn-IN"/>
        </w:rPr>
        <w:t xml:space="preserve"> formulas, </w:t>
      </w:r>
      <w:r>
        <w:rPr>
          <w:sz w:val="20"/>
          <w:lang w:bidi="bn-IN"/>
        </w:rPr>
        <w:t>P</w:t>
      </w:r>
      <w:r>
        <w:rPr>
          <w:sz w:val="20"/>
          <w:vertAlign w:val="subscript"/>
          <w:lang w:bidi="bn-IN"/>
        </w:rPr>
        <w:t>PowerClass,CA</w:t>
      </w:r>
      <w:r>
        <w:rPr>
          <w:rFonts w:hint="eastAsia" w:eastAsia="宋体"/>
          <w:sz w:val="20"/>
          <w:vertAlign w:val="baseline"/>
          <w:lang w:val="en-US" w:eastAsia="zh-CN" w:bidi="bn-IN"/>
        </w:rPr>
        <w:t xml:space="preserve"> is</w:t>
      </w:r>
      <w:r>
        <w:rPr>
          <w:lang w:bidi="bn-IN"/>
        </w:rPr>
        <w:t xml:space="preserve"> </w:t>
      </w:r>
      <w:r>
        <w:rPr>
          <w:rFonts w:hint="eastAsia" w:eastAsia="宋体"/>
          <w:sz w:val="20"/>
          <w:lang w:val="en-US" w:eastAsia="zh-CN" w:bidi="bn-IN"/>
        </w:rPr>
        <w:t xml:space="preserve">the maximum UE power specified by UE Power Class for uplink inter-band CA, where </w:t>
      </w:r>
      <w:r>
        <w:rPr>
          <w:sz w:val="20"/>
          <w:lang w:bidi="bn-IN"/>
        </w:rPr>
        <w:t>P</w:t>
      </w:r>
      <w:r>
        <w:rPr>
          <w:sz w:val="20"/>
          <w:vertAlign w:val="subscript"/>
          <w:lang w:bidi="bn-IN"/>
        </w:rPr>
        <w:t>PowerClass,CA</w:t>
      </w:r>
      <w:r>
        <w:rPr>
          <w:sz w:val="20"/>
          <w:lang w:bidi="bn-IN"/>
        </w:rPr>
        <w:t xml:space="preserve"> is the maximum UE power specified in Table 6.2A.1.3-1 </w:t>
      </w:r>
      <w:r>
        <w:rPr>
          <w:rFonts w:hint="eastAsia" w:eastAsia="宋体"/>
          <w:sz w:val="20"/>
          <w:lang w:val="en-US" w:eastAsia="zh-CN" w:bidi="bn-IN"/>
        </w:rPr>
        <w:t xml:space="preserve">for UE Power Class for uplink inter-band CA, corresponding to different power classes for CA band combinations. </w:t>
      </w:r>
      <w:r>
        <w:rPr>
          <w:rFonts w:hint="eastAsia" w:eastAsia="宋体" w:cs="Times New Roman"/>
          <w:b w:val="0"/>
          <w:bCs w:val="0"/>
          <w:sz w:val="20"/>
          <w:szCs w:val="20"/>
          <w:highlight w:val="none"/>
          <w:u w:val="none"/>
          <w:lang w:val="en-US" w:eastAsia="zh-CN"/>
        </w:rPr>
        <w:t xml:space="preserve">In our understanding, no matter whether the power high limit is lifted or not for inter-band CA </w:t>
      </w:r>
      <w:r>
        <w:rPr>
          <w:rFonts w:hint="eastAsia" w:eastAsia="Times New Roman" w:cs="Times New Roman"/>
          <w:i w:val="0"/>
          <w:iCs w:val="0"/>
          <w:sz w:val="20"/>
          <w:lang w:val="en-US" w:eastAsia="zh-CN"/>
        </w:rPr>
        <w:t>band combination</w:t>
      </w:r>
      <w:r>
        <w:rPr>
          <w:rFonts w:hint="eastAsia" w:eastAsia="宋体" w:cs="Times New Roman"/>
          <w:b w:val="0"/>
          <w:bCs w:val="0"/>
          <w:sz w:val="20"/>
          <w:szCs w:val="20"/>
          <w:highlight w:val="none"/>
          <w:u w:val="none"/>
          <w:lang w:val="en-US" w:eastAsia="zh-CN"/>
        </w:rPr>
        <w:t xml:space="preserve">, </w:t>
      </w:r>
      <w:r>
        <w:rPr>
          <w:rFonts w:hint="eastAsia" w:eastAsia="Times New Roman" w:cs="Times New Roman"/>
          <w:i w:val="0"/>
          <w:iCs w:val="0"/>
          <w:sz w:val="20"/>
          <w:lang w:val="en-US" w:eastAsia="zh-CN"/>
        </w:rPr>
        <w:t xml:space="preserve">power class for CA band combination should be  always valid, where the power class could be PC2, PC1.5 or PC3 pending on whether the IE </w:t>
      </w:r>
      <w:r>
        <w:rPr>
          <w:rFonts w:hint="eastAsia" w:eastAsia="宋体" w:cs="Times New Roman"/>
          <w:b w:val="0"/>
          <w:bCs w:val="0"/>
          <w:i/>
          <w:iCs/>
          <w:sz w:val="20"/>
          <w:szCs w:val="20"/>
          <w:highlight w:val="none"/>
          <w:u w:val="none"/>
          <w:lang w:val="en-US" w:eastAsia="zh-CN"/>
        </w:rPr>
        <w:t xml:space="preserve">powerclass </w:t>
      </w:r>
      <w:r>
        <w:rPr>
          <w:rFonts w:hint="eastAsia" w:eastAsia="Times New Roman" w:cs="Times New Roman"/>
          <w:i w:val="0"/>
          <w:iCs w:val="0"/>
          <w:sz w:val="20"/>
          <w:lang w:val="en-US" w:eastAsia="zh-CN"/>
        </w:rPr>
        <w:t xml:space="preserve">for CA band combination absent or not. In other words, the new signaling introduced for higher power could not conflict with the existing </w:t>
      </w:r>
      <w:r>
        <w:rPr>
          <w:rFonts w:hint="eastAsia" w:eastAsia="宋体" w:cs="Times New Roman"/>
          <w:b w:val="0"/>
          <w:bCs w:val="0"/>
          <w:i/>
          <w:iCs/>
          <w:sz w:val="20"/>
          <w:szCs w:val="20"/>
          <w:highlight w:val="none"/>
          <w:u w:val="none"/>
          <w:lang w:val="en-US" w:eastAsia="zh-CN"/>
        </w:rPr>
        <w:t>powerclass</w:t>
      </w:r>
      <w:r>
        <w:rPr>
          <w:rFonts w:hint="eastAsia" w:eastAsia="Times New Roman" w:cs="Times New Roman"/>
          <w:i w:val="0"/>
          <w:iCs w:val="0"/>
          <w:sz w:val="20"/>
          <w:lang w:val="en-US" w:eastAsia="zh-CN"/>
        </w:rPr>
        <w:t xml:space="preserve"> signaling. </w:t>
      </w:r>
    </w:p>
    <w:p>
      <w:pPr>
        <w:keepNext/>
        <w:keepLines/>
        <w:pageBreakBefore w:val="0"/>
        <w:widowControl/>
        <w:numPr>
          <w:ilvl w:val="0"/>
          <w:numId w:val="0"/>
        </w:numPr>
        <w:kinsoku/>
        <w:wordWrap/>
        <w:overflowPunct w:val="0"/>
        <w:topLinePunct w:val="0"/>
        <w:autoSpaceDE w:val="0"/>
        <w:autoSpaceDN w:val="0"/>
        <w:bidi w:val="0"/>
        <w:adjustRightInd w:val="0"/>
        <w:jc w:val="both"/>
        <w:textAlignment w:val="baseline"/>
        <w:rPr>
          <w:rFonts w:hint="eastAsia" w:eastAsia="Times New Roman" w:cs="Times New Roman"/>
          <w:b/>
          <w:bCs/>
          <w:i/>
          <w:iCs/>
          <w:sz w:val="20"/>
          <w:lang w:val="en-US" w:eastAsia="zh-CN"/>
        </w:rPr>
      </w:pPr>
      <w:r>
        <w:rPr>
          <w:rFonts w:hint="eastAsia" w:eastAsia="宋体" w:cs="Times New Roman"/>
          <w:b/>
          <w:bCs/>
          <w:i/>
          <w:iCs/>
          <w:sz w:val="20"/>
          <w:highlight w:val="none"/>
          <w:u w:val="none"/>
          <w:lang w:val="en-US" w:eastAsia="zh-CN"/>
        </w:rPr>
        <w:t xml:space="preserve">Observation 1. </w:t>
      </w:r>
      <w:r>
        <w:rPr>
          <w:rFonts w:hint="eastAsia" w:eastAsia="Times New Roman" w:cs="Times New Roman"/>
          <w:b/>
          <w:bCs/>
          <w:i/>
          <w:iCs/>
          <w:sz w:val="20"/>
          <w:lang w:val="en-US" w:eastAsia="zh-CN"/>
        </w:rPr>
        <w:t>power class for CA band combination (</w:t>
      </w:r>
      <w:r>
        <w:rPr>
          <w:b/>
          <w:bCs/>
          <w:i/>
          <w:iCs/>
          <w:sz w:val="20"/>
          <w:lang w:bidi="bn-IN"/>
        </w:rPr>
        <w:t>P</w:t>
      </w:r>
      <w:r>
        <w:rPr>
          <w:b/>
          <w:bCs/>
          <w:i/>
          <w:iCs/>
          <w:sz w:val="20"/>
          <w:vertAlign w:val="subscript"/>
          <w:lang w:bidi="bn-IN"/>
        </w:rPr>
        <w:t>PowerClass,CA</w:t>
      </w:r>
      <w:r>
        <w:rPr>
          <w:rFonts w:hint="eastAsia" w:eastAsia="Times New Roman" w:cs="Times New Roman"/>
          <w:b/>
          <w:bCs/>
          <w:i/>
          <w:iCs/>
          <w:sz w:val="20"/>
          <w:lang w:val="en-US" w:eastAsia="zh-CN"/>
        </w:rPr>
        <w:t>) should be always valid.</w:t>
      </w:r>
    </w:p>
    <w:p>
      <w:pPr>
        <w:keepNext/>
        <w:keepLines/>
        <w:pageBreakBefore w:val="0"/>
        <w:widowControl/>
        <w:numPr>
          <w:ilvl w:val="0"/>
          <w:numId w:val="0"/>
        </w:numPr>
        <w:kinsoku/>
        <w:wordWrap/>
        <w:overflowPunct/>
        <w:topLinePunct w:val="0"/>
        <w:autoSpaceDE/>
        <w:autoSpaceDN/>
        <w:bidi w:val="0"/>
        <w:adjustRightInd/>
        <w:jc w:val="left"/>
        <w:textAlignment w:val="auto"/>
        <w:rPr>
          <w:rFonts w:hint="default" w:eastAsia="宋体"/>
          <w:sz w:val="20"/>
          <w:vertAlign w:val="baseline"/>
          <w:lang w:val="en-US" w:eastAsia="zh-CN" w:bidi="bn-IN"/>
        </w:rPr>
      </w:pPr>
      <w:r>
        <w:rPr>
          <w:rFonts w:hint="eastAsia" w:eastAsia="Times New Roman" w:cs="Times New Roman"/>
          <w:b w:val="0"/>
          <w:bCs w:val="0"/>
          <w:i w:val="0"/>
          <w:iCs w:val="0"/>
          <w:sz w:val="20"/>
          <w:lang w:val="en-US" w:eastAsia="zh-CN"/>
        </w:rPr>
        <w:t xml:space="preserve">Therefore, we think the item of </w:t>
      </w:r>
      <w:r>
        <w:rPr>
          <w:sz w:val="20"/>
          <w:lang w:bidi="bn-IN"/>
        </w:rPr>
        <w:t>P</w:t>
      </w:r>
      <w:r>
        <w:rPr>
          <w:sz w:val="20"/>
          <w:vertAlign w:val="subscript"/>
          <w:lang w:bidi="bn-IN"/>
        </w:rPr>
        <w:t>PowerClass,CA</w:t>
      </w:r>
      <w:r>
        <w:rPr>
          <w:rFonts w:hint="eastAsia" w:eastAsia="宋体"/>
          <w:sz w:val="20"/>
          <w:vertAlign w:val="subscript"/>
          <w:lang w:val="en-US" w:eastAsia="zh-CN" w:bidi="bn-IN"/>
        </w:rPr>
        <w:t xml:space="preserve"> </w:t>
      </w:r>
      <w:r>
        <w:rPr>
          <w:rFonts w:hint="eastAsia" w:eastAsia="宋体"/>
          <w:sz w:val="20"/>
          <w:vertAlign w:val="baseline"/>
          <w:lang w:val="en-US" w:eastAsia="zh-CN" w:bidi="bn-IN"/>
        </w:rPr>
        <w:t xml:space="preserve">should be kept in the </w:t>
      </w:r>
      <w:r>
        <w:rPr>
          <w:i w:val="0"/>
          <w:iCs w:val="0"/>
          <w:sz w:val="20"/>
          <w:lang w:val="en-US" w:eastAsia="zh-CN"/>
        </w:rPr>
        <w:t>P</w:t>
      </w:r>
      <w:r>
        <w:rPr>
          <w:i w:val="0"/>
          <w:iCs w:val="0"/>
          <w:sz w:val="20"/>
          <w:vertAlign w:val="subscript"/>
          <w:lang w:val="en-US" w:eastAsia="zh-CN"/>
        </w:rPr>
        <w:t>CMAX_</w:t>
      </w:r>
      <w:r>
        <w:rPr>
          <w:rFonts w:hint="eastAsia"/>
          <w:i w:val="0"/>
          <w:iCs w:val="0"/>
          <w:sz w:val="20"/>
          <w:vertAlign w:val="subscript"/>
          <w:lang w:val="en-US" w:eastAsia="zh-CN"/>
        </w:rPr>
        <w:t>L</w:t>
      </w:r>
      <w:r>
        <w:rPr>
          <w:i w:val="0"/>
          <w:iCs w:val="0"/>
          <w:sz w:val="20"/>
          <w:vertAlign w:val="subscript"/>
          <w:lang w:val="en-US" w:eastAsia="zh-CN"/>
        </w:rPr>
        <w:t>,f,c</w:t>
      </w:r>
      <w:r>
        <w:rPr>
          <w:rFonts w:hint="eastAsia"/>
          <w:i w:val="0"/>
          <w:iCs w:val="0"/>
          <w:sz w:val="20"/>
          <w:vertAlign w:val="subscript"/>
          <w:lang w:val="en-US" w:eastAsia="zh-CN"/>
        </w:rPr>
        <w:t xml:space="preserve"> </w:t>
      </w:r>
      <w:r>
        <w:rPr>
          <w:rFonts w:hint="eastAsia" w:eastAsia="宋体"/>
          <w:sz w:val="20"/>
          <w:vertAlign w:val="baseline"/>
          <w:lang w:val="en-US" w:eastAsia="zh-CN" w:bidi="bn-IN"/>
        </w:rPr>
        <w:t xml:space="preserve"> or </w:t>
      </w:r>
      <w:r>
        <w:rPr>
          <w:i w:val="0"/>
          <w:iCs w:val="0"/>
          <w:sz w:val="20"/>
          <w:lang w:val="en-US" w:eastAsia="zh-CN"/>
        </w:rPr>
        <w:t>P</w:t>
      </w:r>
      <w:r>
        <w:rPr>
          <w:i w:val="0"/>
          <w:iCs w:val="0"/>
          <w:sz w:val="20"/>
          <w:vertAlign w:val="subscript"/>
          <w:lang w:val="en-US" w:eastAsia="zh-CN"/>
        </w:rPr>
        <w:t>CMAX_</w:t>
      </w:r>
      <w:r>
        <w:rPr>
          <w:rFonts w:hint="eastAsia"/>
          <w:i w:val="0"/>
          <w:iCs w:val="0"/>
          <w:sz w:val="20"/>
          <w:vertAlign w:val="subscript"/>
          <w:lang w:val="en-US" w:eastAsia="zh-CN"/>
        </w:rPr>
        <w:t>H</w:t>
      </w:r>
      <w:r>
        <w:rPr>
          <w:i w:val="0"/>
          <w:iCs w:val="0"/>
          <w:sz w:val="20"/>
          <w:vertAlign w:val="subscript"/>
          <w:lang w:val="en-US" w:eastAsia="zh-CN"/>
        </w:rPr>
        <w:t>,f,c</w:t>
      </w:r>
      <w:r>
        <w:rPr>
          <w:rFonts w:hint="eastAsia"/>
          <w:i w:val="0"/>
          <w:iCs w:val="0"/>
          <w:sz w:val="20"/>
          <w:vertAlign w:val="subscript"/>
          <w:lang w:val="en-US" w:eastAsia="zh-CN"/>
        </w:rPr>
        <w:t xml:space="preserve"> </w:t>
      </w:r>
      <w:r>
        <w:rPr>
          <w:rFonts w:hint="eastAsia" w:eastAsia="宋体"/>
          <w:sz w:val="20"/>
          <w:vertAlign w:val="baseline"/>
          <w:lang w:val="en-US" w:eastAsia="zh-CN" w:bidi="bn-IN"/>
        </w:rPr>
        <w:t xml:space="preserve"> formulas. Considering the </w:t>
      </w:r>
      <w:r>
        <w:rPr>
          <w:sz w:val="20"/>
          <w:lang w:bidi="bn-IN"/>
        </w:rPr>
        <w:t>P</w:t>
      </w:r>
      <w:r>
        <w:rPr>
          <w:sz w:val="20"/>
          <w:vertAlign w:val="subscript"/>
          <w:lang w:bidi="bn-IN"/>
        </w:rPr>
        <w:t>PowerClass,CA</w:t>
      </w:r>
      <w:r>
        <w:rPr>
          <w:rFonts w:hint="eastAsia" w:eastAsia="宋体"/>
          <w:sz w:val="20"/>
          <w:vertAlign w:val="baseline"/>
          <w:lang w:val="en-US" w:eastAsia="zh-CN" w:bidi="bn-IN"/>
        </w:rPr>
        <w:t xml:space="preserve"> is going to be replaced by the </w:t>
      </w:r>
      <w:r>
        <w:rPr>
          <w:rFonts w:hint="eastAsia" w:ascii="Times New Roman" w:hAnsi="Times New Roman" w:eastAsia="宋体" w:cs="Times New Roman"/>
          <w:i w:val="0"/>
          <w:iCs w:val="0"/>
          <w:sz w:val="20"/>
          <w:lang w:val="en-US" w:eastAsia="zh-CN" w:bidi="bn-IN"/>
        </w:rPr>
        <w:t>sum of the individual rated PA power classes</w:t>
      </w:r>
      <w:r>
        <w:rPr>
          <w:rFonts w:hint="eastAsia" w:eastAsia="宋体" w:cs="Times New Roman"/>
          <w:i w:val="0"/>
          <w:iCs w:val="0"/>
          <w:sz w:val="20"/>
          <w:lang w:val="en-US" w:eastAsia="zh-CN" w:bidi="bn-IN"/>
        </w:rPr>
        <w:t xml:space="preserve">, so it is reasonable to keep </w:t>
      </w:r>
      <w:r>
        <w:rPr>
          <w:i w:val="0"/>
          <w:iCs w:val="0"/>
          <w:sz w:val="20"/>
          <w:lang w:val="en-US" w:eastAsia="zh-CN"/>
        </w:rPr>
        <w:t>P</w:t>
      </w:r>
      <w:r>
        <w:rPr>
          <w:i w:val="0"/>
          <w:iCs w:val="0"/>
          <w:sz w:val="20"/>
          <w:vertAlign w:val="subscript"/>
          <w:lang w:val="en-US" w:eastAsia="zh-CN"/>
        </w:rPr>
        <w:t>CMAX_</w:t>
      </w:r>
      <w:r>
        <w:rPr>
          <w:rFonts w:hint="eastAsia"/>
          <w:i w:val="0"/>
          <w:iCs w:val="0"/>
          <w:sz w:val="20"/>
          <w:vertAlign w:val="subscript"/>
          <w:lang w:val="en-US" w:eastAsia="zh-CN"/>
        </w:rPr>
        <w:t>L</w:t>
      </w:r>
      <w:r>
        <w:rPr>
          <w:i w:val="0"/>
          <w:iCs w:val="0"/>
          <w:sz w:val="20"/>
          <w:vertAlign w:val="subscript"/>
          <w:lang w:val="en-US" w:eastAsia="zh-CN"/>
        </w:rPr>
        <w:t>,f,c</w:t>
      </w:r>
      <w:r>
        <w:rPr>
          <w:rFonts w:hint="eastAsia"/>
          <w:i w:val="0"/>
          <w:iCs w:val="0"/>
          <w:sz w:val="20"/>
          <w:vertAlign w:val="subscript"/>
          <w:lang w:val="en-US" w:eastAsia="zh-CN"/>
        </w:rPr>
        <w:t xml:space="preserve"> .</w:t>
      </w:r>
    </w:p>
    <w:p>
      <w:pPr>
        <w:keepNext/>
        <w:keepLines/>
        <w:pageBreakBefore w:val="0"/>
        <w:widowControl/>
        <w:numPr>
          <w:ilvl w:val="0"/>
          <w:numId w:val="0"/>
        </w:numPr>
        <w:kinsoku/>
        <w:wordWrap/>
        <w:overflowPunct/>
        <w:topLinePunct w:val="0"/>
        <w:autoSpaceDE/>
        <w:autoSpaceDN/>
        <w:bidi w:val="0"/>
        <w:adjustRightInd/>
        <w:jc w:val="left"/>
        <w:textAlignment w:val="auto"/>
        <w:rPr>
          <w:rFonts w:hint="default" w:eastAsia="宋体"/>
          <w:sz w:val="20"/>
          <w:vertAlign w:val="baseline"/>
          <w:lang w:val="en-US" w:eastAsia="zh-CN" w:bidi="bn-IN"/>
        </w:rPr>
      </w:pPr>
      <w:r>
        <w:rPr>
          <w:rFonts w:hint="eastAsia" w:eastAsia="宋体" w:cs="Times New Roman"/>
          <w:b/>
          <w:bCs/>
          <w:i/>
          <w:iCs/>
          <w:sz w:val="20"/>
          <w:highlight w:val="none"/>
          <w:u w:val="none"/>
          <w:lang w:val="en-US" w:eastAsia="zh-CN"/>
        </w:rPr>
        <w:t>Proposal 1.</w:t>
      </w:r>
      <w:r>
        <w:rPr>
          <w:rFonts w:hint="eastAsia" w:eastAsia="宋体" w:cs="Times New Roman"/>
          <w:b/>
          <w:bCs/>
          <w:i w:val="0"/>
          <w:iCs w:val="0"/>
          <w:sz w:val="20"/>
          <w:highlight w:val="none"/>
          <w:u w:val="none"/>
          <w:lang w:val="en-US" w:eastAsia="zh-CN"/>
        </w:rPr>
        <w:t xml:space="preserve"> </w:t>
      </w:r>
      <w:r>
        <w:rPr>
          <w:b/>
          <w:bCs/>
          <w:i/>
          <w:iCs/>
          <w:sz w:val="20"/>
          <w:lang w:val="en-US" w:eastAsia="zh-CN"/>
        </w:rPr>
        <w:t>P</w:t>
      </w:r>
      <w:r>
        <w:rPr>
          <w:b/>
          <w:bCs/>
          <w:i/>
          <w:iCs/>
          <w:sz w:val="20"/>
          <w:vertAlign w:val="subscript"/>
          <w:lang w:val="en-US" w:eastAsia="zh-CN"/>
        </w:rPr>
        <w:t>CMAX_</w:t>
      </w:r>
      <w:r>
        <w:rPr>
          <w:rFonts w:hint="eastAsia"/>
          <w:b/>
          <w:bCs/>
          <w:i/>
          <w:iCs/>
          <w:sz w:val="20"/>
          <w:vertAlign w:val="subscript"/>
          <w:lang w:val="en-US" w:eastAsia="zh-CN"/>
        </w:rPr>
        <w:t>L</w:t>
      </w:r>
      <w:r>
        <w:rPr>
          <w:b/>
          <w:bCs/>
          <w:i/>
          <w:iCs/>
          <w:sz w:val="20"/>
          <w:vertAlign w:val="subscript"/>
          <w:lang w:val="en-US" w:eastAsia="zh-CN"/>
        </w:rPr>
        <w:t>,f,c</w:t>
      </w:r>
      <w:r>
        <w:rPr>
          <w:rFonts w:hint="eastAsia"/>
          <w:b/>
          <w:bCs/>
          <w:i/>
          <w:iCs/>
          <w:sz w:val="20"/>
          <w:vertAlign w:val="baseline"/>
          <w:lang w:val="en-US" w:eastAsia="zh-CN"/>
        </w:rPr>
        <w:t xml:space="preserve"> is keep unchanged.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Times New Roman" w:cs="Times New Roman"/>
          <w:b/>
          <w:bCs/>
          <w:i w:val="0"/>
          <w:iCs w:val="0"/>
          <w:sz w:val="20"/>
          <w:u w:val="single"/>
          <w:lang w:val="en-US" w:eastAsia="zh-CN"/>
        </w:rPr>
      </w:pPr>
      <w:r>
        <w:rPr>
          <w:rFonts w:hint="eastAsia" w:eastAsia="Times New Roman" w:cs="Times New Roman"/>
          <w:b/>
          <w:bCs/>
          <w:i w:val="0"/>
          <w:iCs w:val="0"/>
          <w:sz w:val="20"/>
          <w:u w:val="single"/>
          <w:lang w:val="en-US" w:eastAsia="zh-CN"/>
        </w:rPr>
        <w:t>MSD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u w:val="none"/>
          <w:lang w:val="en-US" w:eastAsia="zh-CN"/>
        </w:rPr>
      </w:pPr>
      <w:r>
        <w:rPr>
          <w:rFonts w:hint="eastAsia" w:eastAsia="Times New Roman" w:cs="Times New Roman"/>
          <w:i w:val="0"/>
          <w:iCs w:val="0"/>
          <w:sz w:val="20"/>
          <w:lang w:val="en-US" w:eastAsia="zh-CN"/>
        </w:rPr>
        <w:t xml:space="preserve">As stated in [3], </w:t>
      </w:r>
      <w:r>
        <w:rPr>
          <w:rFonts w:hint="eastAsia"/>
          <w:sz w:val="20"/>
          <w:lang w:val="en-US" w:eastAsia="zh-CN"/>
        </w:rPr>
        <w:t>i</w:t>
      </w:r>
      <w:r>
        <w:rPr>
          <w:sz w:val="20"/>
          <w:lang w:val="en-US" w:eastAsia="zh-CN"/>
        </w:rPr>
        <w:t>t was generally understood that increasing Pcmax_L may have implication to MPR/A-MPR/MSD.</w:t>
      </w:r>
    </w:p>
    <w:p>
      <w:pPr>
        <w:keepNext/>
        <w:keepLines/>
        <w:pageBreakBefore w:val="0"/>
        <w:numPr>
          <w:ilvl w:val="0"/>
          <w:numId w:val="0"/>
        </w:numPr>
        <w:kinsoku/>
        <w:wordWrap/>
        <w:topLinePunct w:val="0"/>
        <w:bidi w:val="0"/>
        <w:spacing w:after="120"/>
        <w:outlineLvl w:val="9"/>
        <w:rPr>
          <w:rFonts w:hint="default" w:eastAsia="宋体"/>
          <w:sz w:val="20"/>
          <w:lang w:val="en-US" w:eastAsia="zh-CN"/>
        </w:rPr>
      </w:pPr>
      <w:r>
        <w:rPr>
          <w:rFonts w:hint="eastAsia"/>
          <w:sz w:val="20"/>
          <w:vertAlign w:val="baseline"/>
          <w:lang w:val="en-US" w:eastAsia="zh-CN"/>
        </w:rPr>
        <w:t>However, for existing PC2 band combinations, there exist a note saying</w:t>
      </w:r>
      <w:r>
        <w:rPr>
          <w:rFonts w:hint="eastAsia"/>
          <w:i/>
          <w:iCs/>
          <w:sz w:val="20"/>
          <w:vertAlign w:val="baseline"/>
          <w:lang w:val="en-US" w:eastAsia="zh-CN"/>
        </w:rPr>
        <w:t xml:space="preserve"> </w:t>
      </w:r>
      <w:r>
        <w:rPr>
          <w:rFonts w:hint="default"/>
          <w:i/>
          <w:iCs/>
          <w:sz w:val="20"/>
          <w:vertAlign w:val="baseline"/>
          <w:lang w:val="en-US" w:eastAsia="zh-CN"/>
        </w:rPr>
        <w:t>‘</w:t>
      </w:r>
      <w:r>
        <w:rPr>
          <w:rFonts w:ascii="Times New Roman" w:hAnsi="Times New Roman" w:cs="Times New Roman"/>
          <w:i/>
          <w:iCs/>
          <w:sz w:val="20"/>
        </w:rPr>
        <w:t>Both of the transmitters shall be set min(+2</w:t>
      </w:r>
      <w:r>
        <w:rPr>
          <w:rFonts w:hint="default" w:ascii="Times New Roman" w:hAnsi="Times New Roman" w:cs="Times New Roman"/>
          <w:i/>
          <w:iCs/>
          <w:sz w:val="20"/>
          <w:lang w:val="en-US" w:eastAsia="zh-CN"/>
        </w:rPr>
        <w:t>3</w:t>
      </w:r>
      <w:r>
        <w:rPr>
          <w:rFonts w:ascii="Times New Roman" w:hAnsi="Times New Roman" w:cs="Times New Roman"/>
          <w:i/>
          <w:iCs/>
          <w:sz w:val="20"/>
        </w:rPr>
        <w:t xml:space="preserve"> dBm, </w:t>
      </w:r>
      <w:r>
        <w:rPr>
          <w:rFonts w:ascii="Times New Roman" w:hAnsi="Times New Roman" w:cs="Times New Roman"/>
          <w:i/>
          <w:iCs/>
          <w:sz w:val="20"/>
          <w:lang w:val="en-US" w:eastAsia="zh-CN"/>
        </w:rPr>
        <w:t>P</w:t>
      </w:r>
      <w:r>
        <w:rPr>
          <w:rFonts w:ascii="Times New Roman" w:hAnsi="Times New Roman" w:cs="Times New Roman"/>
          <w:i/>
          <w:iCs/>
          <w:sz w:val="20"/>
          <w:vertAlign w:val="subscript"/>
          <w:lang w:val="en-US" w:eastAsia="zh-CN"/>
        </w:rPr>
        <w:t>CMAX_L,f,c</w:t>
      </w:r>
      <w:r>
        <w:rPr>
          <w:rFonts w:ascii="Times New Roman" w:hAnsi="Times New Roman" w:cs="Times New Roman"/>
          <w:i/>
          <w:iCs/>
          <w:sz w:val="20"/>
        </w:rPr>
        <w:t>) as defined in clause 6.2</w:t>
      </w:r>
      <w:r>
        <w:rPr>
          <w:rFonts w:ascii="Times New Roman" w:hAnsi="Times New Roman" w:cs="Times New Roman"/>
          <w:i/>
          <w:iCs/>
          <w:sz w:val="20"/>
          <w:lang w:eastAsia="zh-CN"/>
        </w:rPr>
        <w:t>A</w:t>
      </w:r>
      <w:r>
        <w:rPr>
          <w:rFonts w:ascii="Times New Roman" w:hAnsi="Times New Roman" w:cs="Times New Roman"/>
          <w:i/>
          <w:iCs/>
          <w:sz w:val="20"/>
        </w:rPr>
        <w:t>.</w:t>
      </w:r>
      <w:r>
        <w:rPr>
          <w:rFonts w:ascii="Times New Roman" w:hAnsi="Times New Roman" w:cs="Times New Roman"/>
          <w:i/>
          <w:iCs/>
          <w:sz w:val="20"/>
          <w:lang w:eastAsia="zh-CN"/>
        </w:rPr>
        <w:t>4</w:t>
      </w:r>
      <w:r>
        <w:rPr>
          <w:rFonts w:hint="default" w:ascii="Times New Roman" w:hAnsi="Times New Roman" w:cs="Times New Roman"/>
          <w:i/>
          <w:iCs/>
          <w:sz w:val="20"/>
          <w:lang w:val="en-US" w:eastAsia="zh-CN"/>
        </w:rPr>
        <w:t>’</w:t>
      </w:r>
      <w:r>
        <w:rPr>
          <w:rFonts w:hint="eastAsia" w:ascii="Times New Roman" w:hAnsi="Times New Roman" w:cs="Times New Roman"/>
          <w:i/>
          <w:iCs/>
          <w:sz w:val="20"/>
          <w:lang w:val="en-US" w:eastAsia="zh-CN"/>
        </w:rPr>
        <w:t xml:space="preserve"> </w:t>
      </w:r>
      <w:r>
        <w:rPr>
          <w:rFonts w:hint="eastAsia" w:ascii="Times New Roman" w:hAnsi="Times New Roman" w:cs="Times New Roman"/>
          <w:i w:val="0"/>
          <w:iCs w:val="0"/>
          <w:sz w:val="20"/>
          <w:lang w:val="en-US" w:eastAsia="zh-CN"/>
        </w:rPr>
        <w:t>for IMD MSD requirements.</w:t>
      </w:r>
      <w:r>
        <w:rPr>
          <w:rFonts w:hint="eastAsia" w:ascii="Times New Roman" w:hAnsi="Times New Roman" w:cs="Times New Roman"/>
          <w:i/>
          <w:iCs/>
          <w:sz w:val="20"/>
          <w:lang w:val="en-US" w:eastAsia="zh-CN"/>
        </w:rPr>
        <w:t xml:space="preserve"> </w:t>
      </w:r>
      <w:r>
        <w:rPr>
          <w:rFonts w:hint="eastAsia" w:ascii="Times New Roman" w:hAnsi="Times New Roman" w:cs="Times New Roman"/>
          <w:i w:val="0"/>
          <w:iCs w:val="0"/>
          <w:sz w:val="20"/>
          <w:lang w:val="en-US" w:eastAsia="zh-CN"/>
        </w:rPr>
        <w:t xml:space="preserve">In our understanding, this note are similar with the PC3 band combination where </w:t>
      </w:r>
      <w:r>
        <w:rPr>
          <w:rFonts w:ascii="Times New Roman" w:hAnsi="Times New Roman" w:cs="Times New Roman"/>
          <w:i w:val="0"/>
          <w:iCs w:val="0"/>
          <w:sz w:val="20"/>
        </w:rPr>
        <w:t>min(+2</w:t>
      </w:r>
      <w:r>
        <w:rPr>
          <w:rFonts w:hint="eastAsia" w:cs="Times New Roman"/>
          <w:i w:val="0"/>
          <w:iCs w:val="0"/>
          <w:sz w:val="20"/>
          <w:lang w:val="en-US" w:eastAsia="zh-CN"/>
        </w:rPr>
        <w:t>0</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is used, which reuse the same approach in LTE defined several years ago. It is difficult to track the reasons for the derivation of this note in LTE but in our understanding, the reason for introducing the </w:t>
      </w:r>
      <w:r>
        <w:rPr>
          <w:rFonts w:ascii="Times New Roman" w:hAnsi="Times New Roman" w:cs="Times New Roman"/>
          <w:i w:val="0"/>
          <w:iCs w:val="0"/>
          <w:sz w:val="20"/>
        </w:rPr>
        <w:t>min(+2</w:t>
      </w:r>
      <w:r>
        <w:rPr>
          <w:rFonts w:hint="eastAsia" w:cs="Times New Roman"/>
          <w:i w:val="0"/>
          <w:iCs w:val="0"/>
          <w:sz w:val="20"/>
          <w:lang w:val="en-US" w:eastAsia="zh-CN"/>
        </w:rPr>
        <w:t>0</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restriction for LTE/NR PC3 NR CA may be that the total output power is limited by </w:t>
      </w:r>
      <w:r>
        <w:rPr>
          <w:sz w:val="20"/>
          <w:lang w:bidi="bn-IN"/>
        </w:rPr>
        <w:t>P</w:t>
      </w:r>
      <w:r>
        <w:rPr>
          <w:sz w:val="20"/>
          <w:vertAlign w:val="subscript"/>
          <w:lang w:bidi="bn-IN"/>
        </w:rPr>
        <w:t>PowerClass,CA</w:t>
      </w:r>
      <w:r>
        <w:rPr>
          <w:rFonts w:hint="eastAsia" w:eastAsia="宋体" w:cs="Times New Roman"/>
          <w:i w:val="0"/>
          <w:iCs w:val="0"/>
          <w:sz w:val="20"/>
          <w:lang w:val="en-US" w:eastAsia="zh-CN"/>
        </w:rPr>
        <w:t xml:space="preserve"> and 20</w:t>
      </w:r>
      <w:r>
        <w:rPr>
          <w:rFonts w:hint="eastAsia" w:eastAsia="宋体"/>
          <w:sz w:val="20"/>
          <w:lang w:val="en-US" w:eastAsia="zh-CN"/>
        </w:rPr>
        <w:t xml:space="preserve">dBm is split equally for each each transmitterfor the worst case </w:t>
      </w:r>
      <w:r>
        <w:rPr>
          <w:rFonts w:hint="eastAsia" w:ascii="Times New Roman" w:hAnsi="Times New Roman" w:eastAsia="宋体"/>
          <w:b w:val="0"/>
          <w:sz w:val="20"/>
          <w:szCs w:val="20"/>
          <w:lang w:val="en-US" w:eastAsia="zh-CN"/>
        </w:rPr>
        <w:t>receiver performance</w:t>
      </w:r>
      <w:r>
        <w:rPr>
          <w:rFonts w:hint="eastAsia" w:eastAsia="宋体"/>
          <w:b w:val="0"/>
          <w:sz w:val="20"/>
          <w:szCs w:val="20"/>
          <w:lang w:val="en-US" w:eastAsia="zh-CN"/>
        </w:rPr>
        <w:t xml:space="preserve"> possible purpose since actually the power configuration in reality for </w:t>
      </w:r>
      <w:r>
        <w:rPr>
          <w:rFonts w:hint="eastAsia" w:eastAsia="宋体"/>
          <w:sz w:val="20"/>
          <w:lang w:val="en-US" w:eastAsia="zh-CN"/>
        </w:rPr>
        <w:t xml:space="preserve">each transmitter can be configured for any values lower than </w:t>
      </w:r>
      <w:r>
        <w:rPr>
          <w:sz w:val="20"/>
          <w:lang w:bidi="bn-IN"/>
        </w:rPr>
        <w:t>P</w:t>
      </w:r>
      <w:r>
        <w:rPr>
          <w:sz w:val="20"/>
          <w:vertAlign w:val="subscript"/>
          <w:lang w:bidi="bn-IN"/>
        </w:rPr>
        <w:t>PowerClass,CA</w:t>
      </w:r>
      <w:r>
        <w:rPr>
          <w:rFonts w:hint="eastAsia" w:eastAsia="宋体"/>
          <w:b w:val="0"/>
          <w:sz w:val="20"/>
          <w:szCs w:val="20"/>
          <w:lang w:val="en-US" w:eastAsia="zh-CN"/>
        </w:rPr>
        <w:t xml:space="preserve">. Similar approach is used for </w:t>
      </w:r>
      <w:r>
        <w:rPr>
          <w:rFonts w:hint="eastAsia"/>
          <w:sz w:val="20"/>
          <w:vertAlign w:val="baseline"/>
          <w:lang w:val="en-US" w:eastAsia="zh-CN"/>
        </w:rPr>
        <w:t>PC2 band combinations, where 23</w:t>
      </w:r>
      <w:r>
        <w:rPr>
          <w:rFonts w:hint="eastAsia" w:eastAsia="宋体"/>
          <w:sz w:val="20"/>
          <w:lang w:val="en-US" w:eastAsia="zh-CN"/>
        </w:rPr>
        <w:t>dBm is split equally for each transmitter.</w:t>
      </w:r>
    </w:p>
    <w:p>
      <w:pPr>
        <w:keepNext/>
        <w:keepLines/>
        <w:pageBreakBefore w:val="0"/>
        <w:widowControl/>
        <w:numPr>
          <w:ilvl w:val="0"/>
          <w:numId w:val="0"/>
        </w:numPr>
        <w:kinsoku/>
        <w:wordWrap/>
        <w:topLinePunct w:val="0"/>
        <w:bidi w:val="0"/>
        <w:spacing w:after="120"/>
        <w:outlineLvl w:val="9"/>
        <w:rPr>
          <w:rFonts w:hint="eastAsia" w:eastAsia="宋体" w:cs="Times New Roman"/>
          <w:i w:val="0"/>
          <w:iCs w:val="0"/>
          <w:sz w:val="20"/>
          <w:lang w:val="en-US" w:eastAsia="zh-CN"/>
        </w:rPr>
      </w:pPr>
      <w:r>
        <w:rPr>
          <w:rFonts w:hint="eastAsia" w:eastAsia="宋体"/>
          <w:b w:val="0"/>
          <w:sz w:val="20"/>
          <w:szCs w:val="20"/>
          <w:lang w:val="en-US" w:eastAsia="zh-CN"/>
        </w:rPr>
        <w:t>F</w:t>
      </w:r>
      <w:r>
        <w:rPr>
          <w:rFonts w:hint="eastAsia" w:eastAsia="宋体" w:cs="Times New Roman"/>
          <w:i w:val="0"/>
          <w:iCs w:val="0"/>
          <w:sz w:val="20"/>
          <w:lang w:val="en-US" w:eastAsia="zh-CN"/>
        </w:rPr>
        <w:t xml:space="preserve">or the function of </w:t>
      </w:r>
      <w:r>
        <w:rPr>
          <w:rFonts w:ascii="Times New Roman" w:hAnsi="Times New Roman" w:cs="Times New Roman"/>
          <w:i w:val="0"/>
          <w:iCs w:val="0"/>
          <w:sz w:val="20"/>
        </w:rPr>
        <w:t>min(+2</w:t>
      </w:r>
      <w:r>
        <w:rPr>
          <w:rFonts w:hint="default" w:ascii="Times New Roman" w:hAnsi="Times New Roman" w:cs="Times New Roman"/>
          <w:i w:val="0"/>
          <w:iCs w:val="0"/>
          <w:sz w:val="20"/>
          <w:lang w:val="en-US" w:eastAsia="zh-CN"/>
        </w:rPr>
        <w:t>3</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for </w:t>
      </w:r>
      <w:r>
        <w:rPr>
          <w:rFonts w:hint="eastAsia"/>
          <w:sz w:val="20"/>
          <w:vertAlign w:val="baseline"/>
          <w:lang w:val="en-US" w:eastAsia="zh-CN"/>
        </w:rPr>
        <w:t>PC2 band combinations</w:t>
      </w:r>
      <w:r>
        <w:rPr>
          <w:rFonts w:hint="eastAsia" w:eastAsia="宋体" w:cs="Times New Roman"/>
          <w:i w:val="0"/>
          <w:iCs w:val="0"/>
          <w:sz w:val="20"/>
          <w:lang w:val="en-US" w:eastAsia="zh-CN"/>
        </w:rPr>
        <w:t xml:space="preserve">, </w:t>
      </w:r>
      <w:r>
        <w:rPr>
          <w:rFonts w:hint="eastAsia" w:eastAsia="宋体"/>
          <w:b w:val="0"/>
          <w:sz w:val="20"/>
          <w:szCs w:val="20"/>
          <w:lang w:val="en-US" w:eastAsia="zh-CN"/>
        </w:rPr>
        <w:t xml:space="preserve">due to </w:t>
      </w:r>
      <w:r>
        <w:rPr>
          <w:rFonts w:hint="eastAsia" w:eastAsia="宋体"/>
          <w:sz w:val="20"/>
          <w:lang w:val="en-US" w:eastAsia="zh-CN"/>
        </w:rPr>
        <w:t xml:space="preserve">the total power limit should be restricted by the PC2 power class (i.e. 26dBm), </w:t>
      </w:r>
      <w:r>
        <w:rPr>
          <w:rFonts w:hint="eastAsia" w:eastAsia="宋体" w:cs="Times New Roman"/>
          <w:i w:val="0"/>
          <w:iCs w:val="0"/>
          <w:sz w:val="20"/>
          <w:lang w:val="en-US" w:eastAsia="zh-CN"/>
        </w:rPr>
        <w:t xml:space="preserve">there are several cases for each </w:t>
      </w:r>
      <w:r>
        <w:rPr>
          <w:rFonts w:ascii="Times New Roman" w:hAnsi="Times New Roman" w:cs="Times New Roman"/>
          <w:i w:val="0"/>
          <w:iCs w:val="0"/>
          <w:sz w:val="20"/>
        </w:rPr>
        <w:t xml:space="preserve">transmitter </w:t>
      </w:r>
      <w:r>
        <w:rPr>
          <w:rFonts w:hint="eastAsia" w:eastAsia="宋体" w:cs="Times New Roman"/>
          <w:i w:val="0"/>
          <w:iCs w:val="0"/>
          <w:sz w:val="20"/>
          <w:lang w:val="en-US" w:eastAsia="zh-CN"/>
        </w:rPr>
        <w:t xml:space="preserve">power, i.e.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1 </w:t>
      </w:r>
      <w:r>
        <w:rPr>
          <w:rFonts w:hint="eastAsia" w:cs="Times New Roman"/>
          <w:i w:val="0"/>
          <w:iCs w:val="0"/>
          <w:sz w:val="20"/>
          <w:vertAlign w:val="baseline"/>
          <w:lang w:val="en-US" w:eastAsia="zh-CN"/>
        </w:rPr>
        <w:t>and</w:t>
      </w:r>
      <w:r>
        <w:rPr>
          <w:rFonts w:hint="eastAsia" w:cs="Times New Roman"/>
          <w:i w:val="0"/>
          <w:iCs w:val="0"/>
          <w:sz w:val="20"/>
          <w:vertAlign w:val="subscript"/>
          <w:lang w:val="en-US" w:eastAsia="zh-CN"/>
        </w:rPr>
        <w:t xml:space="preserv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eastAsia="宋体" w:cs="Times New Roman"/>
          <w:i w:val="0"/>
          <w:iCs w:val="0"/>
          <w:sz w:val="20"/>
          <w:lang w:val="en-US" w:eastAsia="zh-CN"/>
        </w:rPr>
        <w:t>:</w:t>
      </w:r>
    </w:p>
    <w:p>
      <w:pPr>
        <w:keepNext/>
        <w:keepLines/>
        <w:pageBreakBefore w:val="0"/>
        <w:widowControl/>
        <w:numPr>
          <w:ilvl w:val="0"/>
          <w:numId w:val="0"/>
        </w:numPr>
        <w:kinsoku/>
        <w:wordWrap/>
        <w:topLinePunct w:val="0"/>
        <w:bidi w:val="0"/>
        <w:spacing w:after="120"/>
        <w:outlineLvl w:val="9"/>
        <w:rPr>
          <w:rFonts w:hint="eastAsia" w:cs="Times New Roman"/>
          <w:i w:val="0"/>
          <w:iCs w:val="0"/>
          <w:sz w:val="20"/>
          <w:lang w:val="en-US" w:eastAsia="zh-CN"/>
        </w:rPr>
      </w:pPr>
      <w:r>
        <w:rPr>
          <w:rFonts w:hint="eastAsia" w:eastAsia="宋体" w:cs="Times New Roman"/>
          <w:i w:val="0"/>
          <w:iCs w:val="0"/>
          <w:sz w:val="20"/>
          <w:lang w:val="en-US" w:eastAsia="zh-CN"/>
        </w:rPr>
        <w:t xml:space="preserve">1: Both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and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cs="Times New Roman"/>
          <w:i w:val="0"/>
          <w:iCs w:val="0"/>
          <w:sz w:val="20"/>
          <w:vertAlign w:val="baseline"/>
          <w:lang w:val="en-US" w:eastAsia="zh-CN"/>
        </w:rPr>
        <w:t xml:space="preserve"> are smaller than 23dBm,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 xml:space="preserve">should be set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1 </w:t>
      </w:r>
      <w:r>
        <w:rPr>
          <w:rFonts w:hint="eastAsia" w:cs="Times New Roman"/>
          <w:i w:val="0"/>
          <w:iCs w:val="0"/>
          <w:sz w:val="20"/>
          <w:vertAlign w:val="baseline"/>
          <w:lang w:val="en-US" w:eastAsia="zh-CN"/>
        </w:rPr>
        <w:t xml:space="preserve">+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 xml:space="preserve">2 </w:t>
      </w:r>
    </w:p>
    <w:p>
      <w:pPr>
        <w:keepNext/>
        <w:keepLines/>
        <w:pageBreakBefore w:val="0"/>
        <w:numPr>
          <w:ilvl w:val="0"/>
          <w:numId w:val="0"/>
        </w:numPr>
        <w:kinsoku/>
        <w:wordWrap/>
        <w:topLinePunct w:val="0"/>
        <w:bidi w:val="0"/>
        <w:spacing w:after="120"/>
        <w:outlineLvl w:val="9"/>
        <w:rPr>
          <w:rFonts w:hint="eastAsia" w:cs="Times New Roman"/>
          <w:i w:val="0"/>
          <w:iCs w:val="0"/>
          <w:sz w:val="20"/>
          <w:lang w:val="en-US" w:eastAsia="zh-CN"/>
        </w:rPr>
      </w:pPr>
      <w:r>
        <w:rPr>
          <w:rFonts w:hint="eastAsia" w:eastAsia="宋体" w:cs="Times New Roman"/>
          <w:i w:val="0"/>
          <w:iCs w:val="0"/>
          <w:sz w:val="20"/>
          <w:lang w:val="en-US" w:eastAsia="zh-CN"/>
        </w:rPr>
        <w:t xml:space="preserve">2: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is smaller than 23dBm, and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2</w:t>
      </w:r>
      <w:r>
        <w:rPr>
          <w:rFonts w:hint="eastAsia" w:cs="Times New Roman"/>
          <w:i w:val="0"/>
          <w:iCs w:val="0"/>
          <w:sz w:val="20"/>
          <w:vertAlign w:val="baseline"/>
          <w:lang w:val="en-US" w:eastAsia="zh-CN"/>
        </w:rPr>
        <w:t xml:space="preserve"> is larger than 23dBm and smaller than 26dBm,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 xml:space="preserve">should be set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subscript"/>
          <w:lang w:val="en-US" w:eastAsia="zh-CN"/>
        </w:rPr>
        <w:t>1</w:t>
      </w:r>
      <w:r>
        <w:rPr>
          <w:rFonts w:hint="eastAsia" w:cs="Times New Roman"/>
          <w:i w:val="0"/>
          <w:iCs w:val="0"/>
          <w:sz w:val="20"/>
          <w:vertAlign w:val="baseline"/>
          <w:lang w:val="en-US" w:eastAsia="zh-CN"/>
        </w:rPr>
        <w:t xml:space="preserve">+ </w:t>
      </w:r>
      <w:r>
        <w:rPr>
          <w:rFonts w:hint="eastAsia" w:cs="Times New Roman"/>
          <w:i w:val="0"/>
          <w:iCs w:val="0"/>
          <w:sz w:val="20"/>
          <w:lang w:val="en-US" w:eastAsia="zh-CN"/>
        </w:rPr>
        <w:t xml:space="preserve">23dBm.  </w:t>
      </w:r>
    </w:p>
    <w:p>
      <w:pPr>
        <w:keepNext/>
        <w:keepLines/>
        <w:pageBreakBefore w:val="0"/>
        <w:widowControl/>
        <w:numPr>
          <w:ilvl w:val="0"/>
          <w:numId w:val="0"/>
        </w:numPr>
        <w:kinsoku/>
        <w:wordWrap/>
        <w:topLinePunct w:val="0"/>
        <w:bidi w:val="0"/>
        <w:spacing w:after="120"/>
        <w:outlineLvl w:val="9"/>
        <w:rPr>
          <w:rFonts w:hint="default" w:eastAsia="宋体" w:cs="Times New Roman"/>
          <w:i w:val="0"/>
          <w:iCs w:val="0"/>
          <w:sz w:val="20"/>
          <w:lang w:val="en-US" w:eastAsia="zh-CN"/>
        </w:rPr>
      </w:pPr>
      <w:r>
        <w:rPr>
          <w:rFonts w:hint="eastAsia" w:eastAsia="宋体" w:cs="Times New Roman"/>
          <w:i w:val="0"/>
          <w:iCs w:val="0"/>
          <w:sz w:val="20"/>
          <w:lang w:val="en-US" w:eastAsia="zh-CN"/>
        </w:rPr>
        <w:t xml:space="preserve">3: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baseline"/>
          <w:lang w:val="en-US" w:eastAsia="zh-CN"/>
        </w:rPr>
        <w:t xml:space="preserve"> of each transmitter are all larger than 23dBm and smaller than 26dBm, then </w:t>
      </w:r>
      <w:r>
        <w:rPr>
          <w:rFonts w:ascii="Times New Roman" w:hAnsi="Times New Roman" w:cs="Times New Roman"/>
          <w:i w:val="0"/>
          <w:iCs w:val="0"/>
          <w:sz w:val="20"/>
        </w:rPr>
        <w:t xml:space="preserve">the transmitters </w:t>
      </w:r>
      <w:r>
        <w:rPr>
          <w:rFonts w:hint="eastAsia" w:cs="Times New Roman"/>
          <w:i w:val="0"/>
          <w:iCs w:val="0"/>
          <w:sz w:val="20"/>
          <w:lang w:val="en-US" w:eastAsia="zh-CN"/>
        </w:rPr>
        <w:t>should be set 23dBm+23dBm.</w:t>
      </w:r>
    </w:p>
    <w:p>
      <w:pPr>
        <w:keepNext/>
        <w:keepLines/>
        <w:pageBreakBefore w:val="0"/>
        <w:numPr>
          <w:ilvl w:val="0"/>
          <w:numId w:val="0"/>
        </w:numPr>
        <w:kinsoku/>
        <w:wordWrap/>
        <w:topLinePunct w:val="0"/>
        <w:bidi w:val="0"/>
        <w:spacing w:after="120"/>
        <w:outlineLvl w:val="9"/>
        <w:rPr>
          <w:rFonts w:hint="default" w:cs="Times New Roman"/>
          <w:i w:val="0"/>
          <w:iCs w:val="0"/>
          <w:sz w:val="20"/>
          <w:lang w:val="en-US" w:eastAsia="zh-CN"/>
        </w:rPr>
      </w:pPr>
      <w:r>
        <w:rPr>
          <w:rFonts w:hint="eastAsia"/>
          <w:sz w:val="20"/>
          <w:vertAlign w:val="baseline"/>
          <w:lang w:val="en-US" w:eastAsia="zh-CN"/>
        </w:rPr>
        <w:t xml:space="preserve">Obviously, the MSD caused by power configurations in case 1 and case 2 are smaller than the MSD in case 3. Therefore, a common set of IMD MSD values with </w:t>
      </w:r>
      <w:r>
        <w:rPr>
          <w:rFonts w:hint="eastAsia" w:eastAsia="宋体" w:cs="Times New Roman"/>
          <w:i w:val="0"/>
          <w:iCs w:val="0"/>
          <w:sz w:val="20"/>
          <w:highlight w:val="none"/>
          <w:u w:val="none"/>
          <w:lang w:val="en-US" w:eastAsia="zh-CN"/>
        </w:rPr>
        <w:t xml:space="preserve">23+23dBm power configuration </w:t>
      </w:r>
      <w:r>
        <w:rPr>
          <w:rFonts w:hint="eastAsia"/>
          <w:sz w:val="20"/>
          <w:vertAlign w:val="baseline"/>
          <w:lang w:val="en-US" w:eastAsia="zh-CN"/>
        </w:rPr>
        <w:t xml:space="preserve">are defined for all of the power allocations of </w:t>
      </w:r>
      <w:r>
        <w:rPr>
          <w:rFonts w:hint="eastAsia" w:eastAsia="宋体" w:cs="Times New Roman"/>
          <w:i w:val="0"/>
          <w:iCs w:val="0"/>
          <w:sz w:val="20"/>
          <w:highlight w:val="none"/>
          <w:u w:val="none"/>
          <w:lang w:val="en-US" w:eastAsia="zh-CN"/>
        </w:rPr>
        <w:t>23+23dBm and 23+26dBm for either FDD-TDD or TDD-TDD PC2 band combinations and additional 26+23dBm and 26+26dBm for TDD-TDD PC2 band combinations.</w:t>
      </w:r>
    </w:p>
    <w:p>
      <w:pPr>
        <w:keepNext/>
        <w:keepLines/>
        <w:pageBreakBefore w:val="0"/>
        <w:numPr>
          <w:ilvl w:val="0"/>
          <w:numId w:val="0"/>
        </w:numPr>
        <w:kinsoku/>
        <w:wordWrap/>
        <w:topLinePunct w:val="0"/>
        <w:bidi w:val="0"/>
        <w:spacing w:after="120"/>
        <w:outlineLvl w:val="9"/>
        <w:rPr>
          <w:rFonts w:hint="default" w:eastAsia="宋体" w:cs="Times New Roman"/>
          <w:i w:val="0"/>
          <w:iCs w:val="0"/>
          <w:sz w:val="20"/>
          <w:lang w:val="en-US" w:eastAsia="zh-CN"/>
        </w:rPr>
      </w:pPr>
      <w:r>
        <w:rPr>
          <w:rFonts w:hint="eastAsia" w:eastAsia="宋体" w:cs="Times New Roman"/>
          <w:i w:val="0"/>
          <w:iCs w:val="0"/>
          <w:sz w:val="20"/>
          <w:lang w:val="en-US" w:eastAsia="zh-CN"/>
        </w:rPr>
        <w:t xml:space="preserve">Therefore, if the same restriction of </w:t>
      </w:r>
      <w:r>
        <w:rPr>
          <w:rFonts w:ascii="Times New Roman" w:hAnsi="Times New Roman" w:cs="Times New Roman"/>
          <w:i w:val="0"/>
          <w:iCs w:val="0"/>
          <w:sz w:val="20"/>
        </w:rPr>
        <w:t>min(+2</w:t>
      </w:r>
      <w:r>
        <w:rPr>
          <w:rFonts w:hint="default" w:ascii="Times New Roman" w:hAnsi="Times New Roman" w:cs="Times New Roman"/>
          <w:i w:val="0"/>
          <w:iCs w:val="0"/>
          <w:sz w:val="20"/>
          <w:lang w:val="en-US" w:eastAsia="zh-CN"/>
        </w:rPr>
        <w:t>3</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is applied for the increasing high power NR CA combination, then the existing MSD can be applied. However, if the restriction of </w:t>
      </w:r>
      <w:r>
        <w:rPr>
          <w:rFonts w:ascii="Times New Roman" w:hAnsi="Times New Roman" w:cs="Times New Roman"/>
          <w:i w:val="0"/>
          <w:iCs w:val="0"/>
          <w:sz w:val="20"/>
        </w:rPr>
        <w:t>min(+2</w:t>
      </w:r>
      <w:r>
        <w:rPr>
          <w:rFonts w:hint="default" w:ascii="Times New Roman" w:hAnsi="Times New Roman" w:cs="Times New Roman"/>
          <w:i w:val="0"/>
          <w:iCs w:val="0"/>
          <w:sz w:val="20"/>
          <w:lang w:val="en-US" w:eastAsia="zh-CN"/>
        </w:rPr>
        <w:t>3</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is not applied, like </w:t>
      </w:r>
      <w:r>
        <w:rPr>
          <w:rFonts w:ascii="Times New Roman" w:hAnsi="Times New Roman" w:cs="Times New Roman"/>
          <w:i w:val="0"/>
          <w:iCs w:val="0"/>
          <w:sz w:val="20"/>
        </w:rPr>
        <w:t>min(+2</w:t>
      </w:r>
      <w:r>
        <w:rPr>
          <w:rFonts w:hint="eastAsia" w:cs="Times New Roman"/>
          <w:i w:val="0"/>
          <w:iCs w:val="0"/>
          <w:sz w:val="20"/>
          <w:lang w:val="en-US" w:eastAsia="zh-CN"/>
        </w:rPr>
        <w:t>6</w:t>
      </w:r>
      <w:r>
        <w:rPr>
          <w:rFonts w:ascii="Times New Roman" w:hAnsi="Times New Roman" w:cs="Times New Roman"/>
          <w:i w:val="0"/>
          <w:iCs w:val="0"/>
          <w:sz w:val="20"/>
        </w:rPr>
        <w:t xml:space="preserve"> 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is applied for one transmitter, then the MSD need to be re-valuated since the power allocation should be set to </w:t>
      </w:r>
      <w:r>
        <w:rPr>
          <w:rFonts w:hint="eastAsia" w:eastAsia="宋体" w:cs="Times New Roman"/>
          <w:i w:val="0"/>
          <w:iCs w:val="0"/>
          <w:sz w:val="20"/>
          <w:highlight w:val="none"/>
          <w:u w:val="none"/>
          <w:lang w:val="en-US" w:eastAsia="zh-CN"/>
        </w:rPr>
        <w:t xml:space="preserve">23+26dBm, rather than 23+23dBm. In this case, the first item of 23dBm is corrected to 26dBm and it seems no relation to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hint="eastAsia" w:cs="Times New Roman"/>
          <w:i w:val="0"/>
          <w:iCs w:val="0"/>
          <w:sz w:val="20"/>
          <w:vertAlign w:val="baseline"/>
          <w:lang w:val="en-US" w:eastAsia="zh-CN"/>
        </w:rPr>
        <w:t xml:space="preserve">, </w:t>
      </w:r>
      <w:r>
        <w:rPr>
          <w:rFonts w:hint="eastAsia" w:cs="Times New Roman"/>
          <w:b w:val="0"/>
          <w:bCs w:val="0"/>
          <w:i w:val="0"/>
          <w:iCs w:val="0"/>
          <w:sz w:val="20"/>
          <w:vertAlign w:val="baseline"/>
          <w:lang w:val="en-US" w:eastAsia="zh-CN"/>
        </w:rPr>
        <w:t xml:space="preserve">so </w:t>
      </w:r>
      <w:r>
        <w:rPr>
          <w:rFonts w:hint="eastAsia" w:eastAsia="宋体" w:cs="Times New Roman"/>
          <w:b w:val="0"/>
          <w:bCs w:val="0"/>
          <w:i w:val="0"/>
          <w:iCs w:val="0"/>
          <w:sz w:val="20"/>
          <w:lang w:val="en-US" w:eastAsia="zh-CN"/>
        </w:rPr>
        <w:t xml:space="preserve">whether or not increasing </w:t>
      </w:r>
      <w:r>
        <w:rPr>
          <w:rFonts w:ascii="Times New Roman" w:hAnsi="Times New Roman" w:cs="Times New Roman"/>
          <w:b w:val="0"/>
          <w:bCs w:val="0"/>
          <w:i w:val="0"/>
          <w:iCs w:val="0"/>
          <w:sz w:val="20"/>
          <w:lang w:val="en-US" w:eastAsia="zh-CN"/>
        </w:rPr>
        <w:t>P</w:t>
      </w:r>
      <w:r>
        <w:rPr>
          <w:rFonts w:ascii="Times New Roman" w:hAnsi="Times New Roman" w:cs="Times New Roman"/>
          <w:b w:val="0"/>
          <w:bCs w:val="0"/>
          <w:i w:val="0"/>
          <w:iCs w:val="0"/>
          <w:sz w:val="20"/>
          <w:vertAlign w:val="subscript"/>
          <w:lang w:val="en-US" w:eastAsia="zh-CN"/>
        </w:rPr>
        <w:t>CMAX_L,f,c</w:t>
      </w:r>
      <w:r>
        <w:rPr>
          <w:rFonts w:hint="eastAsia" w:cs="Times New Roman"/>
          <w:b w:val="0"/>
          <w:bCs w:val="0"/>
          <w:i w:val="0"/>
          <w:iCs w:val="0"/>
          <w:sz w:val="20"/>
          <w:vertAlign w:val="subscript"/>
          <w:lang w:val="en-US" w:eastAsia="zh-CN"/>
        </w:rPr>
        <w:t xml:space="preserve"> </w:t>
      </w:r>
      <w:r>
        <w:rPr>
          <w:rFonts w:hint="eastAsia" w:eastAsia="宋体" w:cs="Times New Roman"/>
          <w:b w:val="0"/>
          <w:bCs w:val="0"/>
          <w:i w:val="0"/>
          <w:iCs w:val="0"/>
          <w:sz w:val="20"/>
          <w:lang w:val="en-US" w:eastAsia="zh-CN"/>
        </w:rPr>
        <w:t>has no impact on the MSD.</w:t>
      </w:r>
    </w:p>
    <w:p>
      <w:pPr>
        <w:keepNext/>
        <w:keepLines/>
        <w:pageBreakBefore w:val="0"/>
        <w:numPr>
          <w:ilvl w:val="0"/>
          <w:numId w:val="0"/>
        </w:numPr>
        <w:kinsoku/>
        <w:wordWrap/>
        <w:topLinePunct w:val="0"/>
        <w:bidi w:val="0"/>
        <w:spacing w:after="120"/>
        <w:outlineLvl w:val="9"/>
        <w:rPr>
          <w:rFonts w:hint="default" w:eastAsia="宋体" w:cs="Times New Roman"/>
          <w:b/>
          <w:bCs/>
          <w:i/>
          <w:iCs/>
          <w:sz w:val="20"/>
          <w:lang w:val="en-US" w:eastAsia="zh-CN"/>
        </w:rPr>
      </w:pPr>
      <w:r>
        <w:rPr>
          <w:rFonts w:hint="eastAsia" w:eastAsia="宋体" w:cs="Times New Roman"/>
          <w:b/>
          <w:bCs/>
          <w:i/>
          <w:iCs/>
          <w:sz w:val="20"/>
          <w:highlight w:val="none"/>
          <w:u w:val="none"/>
          <w:lang w:val="en-US" w:eastAsia="zh-CN"/>
        </w:rPr>
        <w:t xml:space="preserve">Observation 2. By using the same note of </w:t>
      </w:r>
      <w:r>
        <w:rPr>
          <w:rFonts w:ascii="Times New Roman" w:hAnsi="Times New Roman" w:cs="Times New Roman"/>
          <w:b/>
          <w:bCs/>
          <w:i/>
          <w:iCs/>
          <w:sz w:val="20"/>
        </w:rPr>
        <w:t>min(+2</w:t>
      </w:r>
      <w:r>
        <w:rPr>
          <w:rFonts w:hint="default" w:ascii="Times New Roman" w:hAnsi="Times New Roman" w:cs="Times New Roman"/>
          <w:b/>
          <w:bCs/>
          <w:i/>
          <w:iCs/>
          <w:sz w:val="20"/>
          <w:lang w:val="en-US" w:eastAsia="zh-CN"/>
        </w:rPr>
        <w:t>3</w:t>
      </w:r>
      <w:r>
        <w:rPr>
          <w:rFonts w:ascii="Times New Roman" w:hAnsi="Times New Roman" w:cs="Times New Roman"/>
          <w:b/>
          <w:bCs/>
          <w:i/>
          <w:iCs/>
          <w:sz w:val="20"/>
        </w:rPr>
        <w:t xml:space="preserve"> dBm, </w:t>
      </w:r>
      <w:r>
        <w:rPr>
          <w:rFonts w:ascii="Times New Roman" w:hAnsi="Times New Roman" w:cs="Times New Roman"/>
          <w:b/>
          <w:bCs/>
          <w:i/>
          <w:iCs/>
          <w:sz w:val="20"/>
          <w:lang w:val="en-US" w:eastAsia="zh-CN"/>
        </w:rPr>
        <w:t>P</w:t>
      </w:r>
      <w:r>
        <w:rPr>
          <w:rFonts w:ascii="Times New Roman" w:hAnsi="Times New Roman" w:cs="Times New Roman"/>
          <w:b/>
          <w:bCs/>
          <w:i/>
          <w:iCs/>
          <w:sz w:val="20"/>
          <w:vertAlign w:val="subscript"/>
          <w:lang w:val="en-US" w:eastAsia="zh-CN"/>
        </w:rPr>
        <w:t>CMAX_L,f,c</w:t>
      </w:r>
      <w:r>
        <w:rPr>
          <w:rFonts w:ascii="Times New Roman" w:hAnsi="Times New Roman" w:cs="Times New Roman"/>
          <w:b/>
          <w:bCs/>
          <w:i/>
          <w:iCs/>
          <w:sz w:val="20"/>
        </w:rPr>
        <w:t>)</w:t>
      </w:r>
      <w:r>
        <w:rPr>
          <w:rFonts w:hint="eastAsia" w:eastAsia="宋体" w:cs="Times New Roman"/>
          <w:b/>
          <w:bCs/>
          <w:i/>
          <w:iCs/>
          <w:sz w:val="20"/>
          <w:highlight w:val="none"/>
          <w:u w:val="none"/>
          <w:lang w:val="en-US" w:eastAsia="zh-CN"/>
        </w:rPr>
        <w:t xml:space="preserve">, </w:t>
      </w:r>
      <w:r>
        <w:rPr>
          <w:rFonts w:hint="eastAsia" w:eastAsia="宋体" w:cs="Times New Roman"/>
          <w:b/>
          <w:bCs/>
          <w:i/>
          <w:iCs/>
          <w:sz w:val="20"/>
          <w:lang w:val="en-US" w:eastAsia="zh-CN"/>
        </w:rPr>
        <w:t xml:space="preserve">whether or not increasing </w:t>
      </w:r>
      <w:r>
        <w:rPr>
          <w:rFonts w:ascii="Times New Roman" w:hAnsi="Times New Roman" w:cs="Times New Roman"/>
          <w:b/>
          <w:bCs/>
          <w:i/>
          <w:iCs/>
          <w:sz w:val="20"/>
          <w:lang w:val="en-US" w:eastAsia="zh-CN"/>
        </w:rPr>
        <w:t>P</w:t>
      </w:r>
      <w:r>
        <w:rPr>
          <w:rFonts w:ascii="Times New Roman" w:hAnsi="Times New Roman" w:cs="Times New Roman"/>
          <w:b/>
          <w:bCs/>
          <w:i/>
          <w:iCs/>
          <w:sz w:val="20"/>
          <w:vertAlign w:val="subscript"/>
          <w:lang w:val="en-US" w:eastAsia="zh-CN"/>
        </w:rPr>
        <w:t>CMAX_L,f,c</w:t>
      </w:r>
      <w:r>
        <w:rPr>
          <w:rFonts w:hint="eastAsia" w:cs="Times New Roman"/>
          <w:b/>
          <w:bCs/>
          <w:i/>
          <w:iCs/>
          <w:sz w:val="20"/>
          <w:vertAlign w:val="subscript"/>
          <w:lang w:val="en-US" w:eastAsia="zh-CN"/>
        </w:rPr>
        <w:t xml:space="preserve"> </w:t>
      </w:r>
      <w:r>
        <w:rPr>
          <w:rFonts w:hint="eastAsia" w:eastAsia="宋体" w:cs="Times New Roman"/>
          <w:b/>
          <w:bCs/>
          <w:i/>
          <w:iCs/>
          <w:sz w:val="20"/>
          <w:lang w:val="en-US" w:eastAsia="zh-CN"/>
        </w:rPr>
        <w:t>has no impact on the MSD.</w:t>
      </w:r>
    </w:p>
    <w:p>
      <w:pPr>
        <w:keepNext/>
        <w:keepLines/>
        <w:pageBreakBefore w:val="0"/>
        <w:numPr>
          <w:ilvl w:val="0"/>
          <w:numId w:val="0"/>
        </w:numPr>
        <w:kinsoku/>
        <w:wordWrap/>
        <w:topLinePunct w:val="0"/>
        <w:bidi w:val="0"/>
        <w:spacing w:after="120"/>
        <w:outlineLvl w:val="9"/>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I</w:t>
      </w:r>
      <w:r>
        <w:rPr>
          <w:rFonts w:hint="eastAsia" w:eastAsia="宋体" w:cs="Times New Roman"/>
          <w:b w:val="0"/>
          <w:bCs w:val="0"/>
          <w:sz w:val="20"/>
          <w:szCs w:val="20"/>
          <w:highlight w:val="none"/>
          <w:u w:val="none"/>
          <w:lang w:val="en-US" w:eastAsia="zh-CN"/>
        </w:rPr>
        <w:t xml:space="preserve">n last meeting, We provided a initial evaluation on </w:t>
      </w:r>
      <w:r>
        <w:rPr>
          <w:rFonts w:hint="eastAsia" w:eastAsia="宋体" w:cs="Times New Roman"/>
          <w:i w:val="0"/>
          <w:iCs w:val="0"/>
          <w:sz w:val="20"/>
          <w:highlight w:val="none"/>
          <w:u w:val="none"/>
          <w:lang w:val="en-US" w:eastAsia="zh-CN"/>
        </w:rPr>
        <w:t>CA_n1-n78 in [4] with 23+26dBm power allocation when the restriction of total power is lifted, where IMD4 MSD value is calculated as 19.5dB which is 1.7dB higher than the existing PC2 MSD value.</w:t>
      </w:r>
    </w:p>
    <w:p>
      <w:pPr>
        <w:keepNext/>
        <w:keepLines/>
        <w:pageBreakBefore w:val="0"/>
        <w:numPr>
          <w:ilvl w:val="0"/>
          <w:numId w:val="0"/>
        </w:numPr>
        <w:kinsoku/>
        <w:wordWrap/>
        <w:topLinePunct w:val="0"/>
        <w:bidi w:val="0"/>
        <w:spacing w:after="120"/>
        <w:outlineLvl w:val="9"/>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However, considering the scope which was discussed in last meeting, such as PC5+PC3, PC3+PC2, and PC2+PC1.5, It is difficult to defined the </w:t>
      </w:r>
      <w:r>
        <w:rPr>
          <w:rFonts w:ascii="Times New Roman" w:hAnsi="Times New Roman" w:cs="Times New Roman"/>
          <w:i w:val="0"/>
          <w:iCs w:val="0"/>
          <w:sz w:val="20"/>
        </w:rPr>
        <w:t>min(+</w:t>
      </w:r>
      <w:r>
        <w:rPr>
          <w:rFonts w:hint="eastAsia" w:eastAsia="宋体" w:cs="Times New Roman"/>
          <w:i w:val="0"/>
          <w:iCs w:val="0"/>
          <w:sz w:val="20"/>
          <w:lang w:val="en-US" w:eastAsia="zh-CN"/>
        </w:rPr>
        <w:t xml:space="preserve">X </w:t>
      </w:r>
      <w:r>
        <w:rPr>
          <w:rFonts w:ascii="Times New Roman" w:hAnsi="Times New Roman" w:cs="Times New Roman"/>
          <w:i w:val="0"/>
          <w:iCs w:val="0"/>
          <w:sz w:val="20"/>
        </w:rPr>
        <w:t xml:space="preserve">dBm, </w:t>
      </w:r>
      <w:r>
        <w:rPr>
          <w:rFonts w:ascii="Times New Roman" w:hAnsi="Times New Roman" w:cs="Times New Roman"/>
          <w:i w:val="0"/>
          <w:iCs w:val="0"/>
          <w:sz w:val="20"/>
          <w:lang w:val="en-US" w:eastAsia="zh-CN"/>
        </w:rPr>
        <w:t>P</w:t>
      </w:r>
      <w:r>
        <w:rPr>
          <w:rFonts w:ascii="Times New Roman" w:hAnsi="Times New Roman" w:cs="Times New Roman"/>
          <w:i w:val="0"/>
          <w:iCs w:val="0"/>
          <w:sz w:val="20"/>
          <w:vertAlign w:val="subscript"/>
          <w:lang w:val="en-US" w:eastAsia="zh-CN"/>
        </w:rPr>
        <w:t>CMAX_L,f,c</w:t>
      </w:r>
      <w:r>
        <w:rPr>
          <w:rFonts w:ascii="Times New Roman" w:hAnsi="Times New Roman" w:cs="Times New Roman"/>
          <w:i w:val="0"/>
          <w:iCs w:val="0"/>
          <w:sz w:val="20"/>
        </w:rPr>
        <w:t>)</w:t>
      </w:r>
      <w:r>
        <w:rPr>
          <w:rFonts w:hint="eastAsia" w:eastAsia="宋体" w:cs="Times New Roman"/>
          <w:i w:val="0"/>
          <w:iCs w:val="0"/>
          <w:sz w:val="20"/>
          <w:lang w:val="en-US" w:eastAsia="zh-CN"/>
        </w:rPr>
        <w:t xml:space="preserve"> for all of the power configuration cases, where X may be different with 23dBm, and</w:t>
      </w:r>
      <w:r>
        <w:rPr>
          <w:rFonts w:hint="eastAsia" w:eastAsia="宋体" w:cs="Times New Roman"/>
          <w:i w:val="0"/>
          <w:iCs w:val="0"/>
          <w:sz w:val="20"/>
          <w:highlight w:val="none"/>
          <w:u w:val="none"/>
          <w:lang w:val="en-US" w:eastAsia="zh-CN"/>
        </w:rPr>
        <w:t xml:space="preserve"> it might be unrealistic to re-evaluate the MSD values for all the possible power configurations, it would cause cumbersome specification, and also higher work load in RAN4 considering lots of existing PC2 band combination and meanwhile the number is increasing, also increasing test burden. So it would be better to keep the exiting MSD values since the existing MSD values defined in RAN4 spec are the derived from the calculation and have large margin comparing with the actual MSD value.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3. Defining new MSD values for all possible power configurations would cause cumbersome specification and higher work load in RAN4 and higher test burden in RAN5. </w:t>
      </w:r>
    </w:p>
    <w:p>
      <w:pPr>
        <w:keepNext/>
        <w:keepLines/>
        <w:pageBreakBefore w:val="0"/>
        <w:widowControl/>
        <w:numPr>
          <w:ilvl w:val="0"/>
          <w:numId w:val="0"/>
        </w:numPr>
        <w:kinsoku/>
        <w:wordWrap/>
        <w:overflowPunct/>
        <w:topLinePunct w:val="0"/>
        <w:autoSpaceDE/>
        <w:autoSpaceDN/>
        <w:bidi w:val="0"/>
        <w:adjustRightInd/>
        <w:jc w:val="left"/>
        <w:textAlignment w:val="auto"/>
        <w:rPr>
          <w:rFonts w:hint="default" w:eastAsia="宋体"/>
          <w:sz w:val="20"/>
          <w:vertAlign w:val="baseline"/>
          <w:lang w:val="en-US" w:eastAsia="zh-CN" w:bidi="bn-IN"/>
        </w:rPr>
      </w:pPr>
      <w:r>
        <w:rPr>
          <w:rFonts w:hint="eastAsia" w:eastAsia="宋体" w:cs="Times New Roman"/>
          <w:b/>
          <w:bCs/>
          <w:i/>
          <w:iCs/>
          <w:sz w:val="20"/>
          <w:highlight w:val="none"/>
          <w:u w:val="none"/>
          <w:lang w:val="en-US" w:eastAsia="zh-CN"/>
        </w:rPr>
        <w:t>Proposal 2. No need to re-valuate MSD</w:t>
      </w:r>
      <w:r>
        <w:rPr>
          <w:rFonts w:hint="eastAsia"/>
          <w:b/>
          <w:bCs/>
          <w:i w:val="0"/>
          <w:iCs w:val="0"/>
          <w:sz w:val="20"/>
          <w:vertAlign w:val="baseline"/>
          <w:lang w:val="en-US" w:eastAsia="zh-CN"/>
        </w:rPr>
        <w:t>.</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trike w:val="0"/>
          <w:dstrike w:val="0"/>
          <w:sz w:val="20"/>
          <w:highlight w:val="none"/>
          <w:u w:val="single"/>
          <w:lang w:val="en-US" w:eastAsia="zh-CN"/>
        </w:rPr>
      </w:pPr>
      <w:r>
        <w:rPr>
          <w:rFonts w:hint="eastAsia" w:eastAsia="宋体" w:cs="Times New Roman"/>
          <w:b/>
          <w:bCs/>
          <w:i w:val="0"/>
          <w:iCs w:val="0"/>
          <w:strike w:val="0"/>
          <w:dstrike w:val="0"/>
          <w:sz w:val="20"/>
          <w:highlight w:val="none"/>
          <w:u w:val="single"/>
          <w:lang w:val="en-US" w:eastAsia="zh-CN"/>
        </w:rPr>
        <w:t>TxD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Times New Roman"/>
          <w:iCs w:val="0"/>
          <w:sz w:val="20"/>
          <w:lang w:val="en-US" w:eastAsia="zh-CN"/>
        </w:rPr>
      </w:pPr>
      <w:r>
        <w:rPr>
          <w:rFonts w:hint="eastAsia" w:eastAsia="Times New Roman"/>
          <w:i w:val="0"/>
          <w:iCs w:val="0"/>
          <w:sz w:val="20"/>
          <w:lang w:val="en-US" w:eastAsia="zh-CN"/>
        </w:rPr>
        <w:t>In last meeting, RAN2</w:t>
      </w:r>
      <w:r>
        <w:rPr>
          <w:rFonts w:hint="default" w:eastAsia="Times New Roman"/>
          <w:i w:val="0"/>
          <w:iCs w:val="0"/>
          <w:sz w:val="20"/>
          <w:lang w:val="en-US" w:eastAsia="zh-CN"/>
        </w:rPr>
        <w:t>’</w:t>
      </w:r>
      <w:r>
        <w:rPr>
          <w:rFonts w:hint="eastAsia" w:eastAsia="Times New Roman"/>
          <w:i w:val="0"/>
          <w:iCs w:val="0"/>
          <w:sz w:val="20"/>
          <w:lang w:val="en-US" w:eastAsia="zh-CN"/>
        </w:rPr>
        <w:t xml:space="preserve">s CR in [6] introduced </w:t>
      </w:r>
      <w:r>
        <w:rPr>
          <w:rFonts w:hint="eastAsia" w:eastAsia="Times New Roman"/>
          <w:iCs w:val="0"/>
          <w:sz w:val="20"/>
          <w:lang w:val="en-US" w:eastAsia="zh-CN"/>
        </w:rPr>
        <w:t xml:space="preserve">a new Rel-16 capability of </w:t>
      </w:r>
      <w:r>
        <w:rPr>
          <w:rFonts w:hint="eastAsia" w:eastAsia="Times New Roman"/>
          <w:i/>
          <w:iCs/>
          <w:sz w:val="20"/>
          <w:lang w:val="en-US" w:eastAsia="zh-CN"/>
        </w:rPr>
        <w:t>txDiversity-r16</w:t>
      </w:r>
      <w:r>
        <w:rPr>
          <w:rFonts w:hint="eastAsia" w:eastAsia="Times New Roman"/>
          <w:iCs w:val="0"/>
          <w:sz w:val="20"/>
          <w:lang w:val="en-US" w:eastAsia="zh-CN"/>
        </w:rPr>
        <w:t>, which is:</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pageBreakBefore w:val="0"/>
              <w:kinsoku/>
              <w:wordWrap/>
              <w:overflowPunct w:val="0"/>
              <w:topLinePunct w:val="0"/>
              <w:autoSpaceDE w:val="0"/>
              <w:autoSpaceDN w:val="0"/>
              <w:bidi w:val="0"/>
              <w:adjustRightInd w:val="0"/>
              <w:spacing w:after="0"/>
              <w:textAlignment w:val="baseline"/>
              <w:rPr>
                <w:rFonts w:ascii="Arial" w:hAnsi="Arial"/>
                <w:b/>
                <w:i/>
                <w:sz w:val="20"/>
                <w:szCs w:val="20"/>
                <w:lang w:eastAsia="zh-CN"/>
              </w:rPr>
            </w:pPr>
            <w:r>
              <w:rPr>
                <w:rFonts w:hint="eastAsia" w:ascii="Arial" w:hAnsi="Arial"/>
                <w:b/>
                <w:i/>
                <w:sz w:val="20"/>
                <w:szCs w:val="20"/>
                <w:lang w:eastAsia="zh-CN"/>
              </w:rPr>
              <w:t>txDiversity-r16</w:t>
            </w:r>
          </w:p>
          <w:p>
            <w:pPr>
              <w:keepNext/>
              <w:keepLines/>
              <w:pageBreakBefore w:val="0"/>
              <w:kinsoku/>
              <w:wordWrap/>
              <w:overflowPunct w:val="0"/>
              <w:topLinePunct w:val="0"/>
              <w:autoSpaceDE w:val="0"/>
              <w:autoSpaceDN w:val="0"/>
              <w:bidi w:val="0"/>
              <w:adjustRightInd w:val="0"/>
              <w:spacing w:after="0"/>
              <w:textAlignment w:val="baseline"/>
              <w:rPr>
                <w:rFonts w:ascii="Arial" w:hAnsi="Arial" w:eastAsia="Times New Roman"/>
                <w:b/>
                <w:i/>
                <w:sz w:val="20"/>
                <w:szCs w:val="20"/>
                <w:lang w:eastAsia="ja-JP"/>
              </w:rPr>
            </w:pPr>
            <w:r>
              <w:rPr>
                <w:rFonts w:cs="Arial"/>
                <w:bCs/>
                <w:sz w:val="20"/>
                <w:szCs w:val="20"/>
              </w:rPr>
              <w:t>Indicates whether</w:t>
            </w:r>
            <w:r>
              <w:rPr>
                <w:rFonts w:hint="eastAsia" w:cs="Arial"/>
                <w:bCs/>
                <w:sz w:val="20"/>
                <w:szCs w:val="20"/>
                <w:lang w:eastAsia="zh-CN"/>
              </w:rPr>
              <w:t xml:space="preserve"> the</w:t>
            </w:r>
            <w:r>
              <w:rPr>
                <w:rFonts w:cs="Arial"/>
                <w:bCs/>
                <w:sz w:val="20"/>
                <w:szCs w:val="20"/>
              </w:rPr>
              <w:t xml:space="preserve"> UE supports </w:t>
            </w:r>
            <w:r>
              <w:rPr>
                <w:rFonts w:hint="eastAsia" w:cs="Arial"/>
                <w:bCs/>
                <w:sz w:val="20"/>
                <w:szCs w:val="20"/>
                <w:lang w:eastAsia="zh-CN"/>
              </w:rPr>
              <w:t>Tx</w:t>
            </w:r>
            <w:r>
              <w:rPr>
                <w:rFonts w:cs="Arial"/>
                <w:bCs/>
                <w:sz w:val="20"/>
                <w:szCs w:val="20"/>
              </w:rPr>
              <w:t xml:space="preserve"> diversity </w:t>
            </w:r>
            <w:r>
              <w:rPr>
                <w:rFonts w:hint="eastAsia" w:cs="Arial"/>
                <w:bCs/>
                <w:sz w:val="20"/>
                <w:szCs w:val="20"/>
                <w:lang w:eastAsia="zh-CN"/>
              </w:rPr>
              <w:t xml:space="preserve">requirements </w:t>
            </w:r>
            <w:r>
              <w:rPr>
                <w:rFonts w:cs="Arial"/>
                <w:bCs/>
                <w:sz w:val="20"/>
                <w:szCs w:val="20"/>
              </w:rPr>
              <w:t>as specified in TS 38.101-1 [2].</w:t>
            </w:r>
          </w:p>
        </w:tc>
        <w:tc>
          <w:tcPr>
            <w:tcW w:w="709"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Times New Roman"/>
                <w:sz w:val="20"/>
                <w:szCs w:val="20"/>
                <w:lang w:eastAsia="ja-JP"/>
              </w:rPr>
            </w:pPr>
            <w:r>
              <w:rPr>
                <w:rFonts w:hint="eastAsia" w:ascii="Arial" w:hAnsi="Arial"/>
                <w:sz w:val="20"/>
                <w:szCs w:val="20"/>
                <w:lang w:eastAsia="zh-CN"/>
              </w:rPr>
              <w:t>Band</w:t>
            </w:r>
          </w:p>
        </w:tc>
        <w:tc>
          <w:tcPr>
            <w:tcW w:w="567"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Times New Roman"/>
                <w:sz w:val="20"/>
                <w:szCs w:val="20"/>
                <w:lang w:eastAsia="ja-JP"/>
              </w:rPr>
            </w:pPr>
            <w:r>
              <w:rPr>
                <w:rFonts w:ascii="Arial" w:hAnsi="Arial" w:eastAsia="Times New Roman"/>
                <w:sz w:val="20"/>
                <w:szCs w:val="20"/>
                <w:lang w:eastAsia="ja-JP"/>
              </w:rPr>
              <w:t>No</w:t>
            </w:r>
          </w:p>
        </w:tc>
        <w:tc>
          <w:tcPr>
            <w:tcW w:w="709"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Times New Roman"/>
                <w:sz w:val="20"/>
                <w:szCs w:val="20"/>
                <w:lang w:eastAsia="ja-JP"/>
              </w:rPr>
            </w:pPr>
            <w:r>
              <w:rPr>
                <w:rFonts w:ascii="Arial" w:hAnsi="Arial" w:eastAsia="Times New Roman"/>
                <w:sz w:val="20"/>
                <w:szCs w:val="20"/>
                <w:lang w:eastAsia="ja-JP"/>
              </w:rPr>
              <w:t>N/A</w:t>
            </w:r>
          </w:p>
        </w:tc>
        <w:tc>
          <w:tcPr>
            <w:tcW w:w="728"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Times New Roman"/>
                <w:sz w:val="20"/>
                <w:szCs w:val="20"/>
                <w:lang w:eastAsia="ja-JP"/>
              </w:rPr>
            </w:pPr>
            <w:r>
              <w:rPr>
                <w:rFonts w:hint="eastAsia" w:ascii="Arial" w:hAnsi="Arial"/>
                <w:sz w:val="20"/>
                <w:szCs w:val="20"/>
                <w:lang w:eastAsia="zh-CN"/>
              </w:rPr>
              <w:t>FR1 only</w:t>
            </w:r>
          </w:p>
        </w:tc>
      </w:tr>
    </w:tbl>
    <w:p>
      <w:pPr>
        <w:pStyle w:val="217"/>
        <w:keepNext/>
        <w:keepLines/>
        <w:pageBreakBefore w:val="0"/>
        <w:widowControl/>
        <w:kinsoku/>
        <w:wordWrap/>
        <w:topLinePunct w:val="0"/>
        <w:bidi w:val="0"/>
        <w:snapToGrid/>
        <w:spacing w:before="120" w:after="120"/>
        <w:ind w:left="0"/>
        <w:jc w:val="left"/>
        <w:rPr>
          <w:rFonts w:hint="eastAsia" w:ascii="Times New Roman" w:hAnsi="Times New Roman" w:eastAsia="Times New Roman" w:cs="Times New Roman"/>
          <w:iCs w:val="0"/>
          <w:sz w:val="20"/>
          <w:lang w:val="en-US" w:eastAsia="zh-CN" w:bidi="ar-SA"/>
        </w:rPr>
      </w:pPr>
      <w:r>
        <w:rPr>
          <w:rFonts w:hint="eastAsia" w:ascii="Times New Roman" w:hAnsi="Times New Roman" w:eastAsia="Times New Roman" w:cs="Times New Roman"/>
          <w:iCs w:val="0"/>
          <w:sz w:val="20"/>
          <w:lang w:val="en-US" w:eastAsia="zh-CN" w:bidi="ar-SA"/>
        </w:rPr>
        <w:t>According to the impact analysis in the cover in [6], the 5G architecture options:(NG)EN-DC, NR SA, NE-DC, NR-DC are impacted. Therefore, in our understanding, the</w:t>
      </w:r>
      <w:r>
        <w:rPr>
          <w:rFonts w:hint="eastAsia" w:ascii="Times New Roman" w:hAnsi="Times New Roman" w:eastAsia="Times New Roman" w:cs="Times New Roman"/>
          <w:i/>
          <w:iCs/>
          <w:sz w:val="20"/>
          <w:lang w:val="en-US" w:eastAsia="zh-CN" w:bidi="ar-SA"/>
        </w:rPr>
        <w:t xml:space="preserve"> txDiversity-r16 </w:t>
      </w:r>
      <w:r>
        <w:rPr>
          <w:rFonts w:hint="eastAsia" w:ascii="Times New Roman" w:hAnsi="Times New Roman" w:eastAsia="Times New Roman" w:cs="Times New Roman"/>
          <w:iCs w:val="0"/>
          <w:sz w:val="20"/>
          <w:lang w:val="en-US" w:eastAsia="zh-CN" w:bidi="ar-SA"/>
        </w:rPr>
        <w:t>can also be applied for the UE supports Tx diversity in PC2 inter-band NR CA band combination.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For UL NR CA band combination, we think similar situation as ENDC would happen that the power class of one band who supporting TxD may be different with the power class the same band operating in NR UL CA operation, for example band nX (23dBm) + band nY (26dBm via TxD 23dBm+23dBm), power class for band nY is PC3 and PC2 for UL CA operation and single band operation, respectively. A simple figure can be found below for the two different cases of the power high limits with or without TxD.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pPr>
      <w:r>
        <w:drawing>
          <wp:inline distT="0" distB="0" distL="114300" distR="114300">
            <wp:extent cx="2750185" cy="124968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2750185" cy="1249680"/>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820670" cy="1701165"/>
            <wp:effectExtent l="0" t="0" r="1397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2820670" cy="1701165"/>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0" w:firstLine="1400" w:firstLineChars="700"/>
        <w:jc w:val="left"/>
        <w:textAlignment w:val="baseline"/>
        <w:rPr>
          <w:rFonts w:hint="default"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(1) w/o TxD                                                                               (2) with TxD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0" w:firstLine="0"/>
        <w:jc w:val="left"/>
        <w:textAlignment w:val="baseline"/>
        <w:rPr>
          <w:rFonts w:hint="default"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Fig 1.Power high limits with/without TxD for 23+26dBm case</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In cases of no TxD is not supported in inter-band CA mode (left), we think it was already clear and no argument.</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 xml:space="preserve">In case of TxD is supported in inter-band CA mode (right), due to up to 2Tx can be configured which means inter-band NR CA and TxD cannot work at the same time. For band nY, full-power PAs are configured in each Tx chain, so the total power cannot up to 27.8dBm. In this case, </w:t>
      </w:r>
      <w:r>
        <w:rPr>
          <w:rFonts w:hint="eastAsia" w:eastAsia="宋体" w:cs="Times New Roman"/>
          <w:i w:val="0"/>
          <w:iCs w:val="0"/>
          <w:strike w:val="0"/>
          <w:dstrike w:val="0"/>
          <w:sz w:val="20"/>
          <w:highlight w:val="none"/>
          <w:u w:val="none"/>
          <w:lang w:val="en-US" w:eastAsia="zh-TW"/>
        </w:rPr>
        <w:t>UE can choose not to report the optional signaling</w:t>
      </w:r>
      <w:r>
        <w:rPr>
          <w:rFonts w:hint="eastAsia" w:eastAsia="宋体" w:cs="Times New Roman"/>
          <w:i w:val="0"/>
          <w:iCs w:val="0"/>
          <w:strike w:val="0"/>
          <w:dstrike w:val="0"/>
          <w:sz w:val="20"/>
          <w:highlight w:val="none"/>
          <w:u w:val="none"/>
          <w:lang w:val="en-US" w:eastAsia="zh-CN"/>
        </w:rPr>
        <w:t xml:space="preserve"> defined for high limits of UE for inter-band CA and DC due to only PC3 for each Tx chain when operating in CA/DC mode</w:t>
      </w:r>
      <w:r>
        <w:rPr>
          <w:rFonts w:hint="eastAsia" w:eastAsia="宋体" w:cs="Times New Roman"/>
          <w:i w:val="0"/>
          <w:iCs w:val="0"/>
          <w:strike w:val="0"/>
          <w:dstrike w:val="0"/>
          <w:sz w:val="20"/>
          <w:highlight w:val="none"/>
          <w:u w:val="none"/>
          <w:lang w:val="en-US" w:eastAsia="zh-TW"/>
        </w:rPr>
        <w:t xml:space="preserve">, thus not supporting the sum method for this band combination.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It shall be noted that the power configuration of 23+26dBm for TxD single band are still under discussed. If the 23+26dBm power configuration can be available for TxD single band, then the total power could still up to 27.8dBm when 26dBm PA of band nY together with 23dBm PA of nX are implemented as inter-band CA which is the same with the left one.</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trike w:val="0"/>
          <w:dstrike w:val="0"/>
          <w:sz w:val="20"/>
          <w:highlight w:val="none"/>
          <w:u w:val="none"/>
          <w:lang w:val="en-US" w:eastAsia="zh-CN"/>
        </w:rPr>
      </w:pPr>
      <w:r>
        <w:rPr>
          <w:rFonts w:hint="eastAsia" w:eastAsia="宋体" w:cs="Times New Roman"/>
          <w:i w:val="0"/>
          <w:iCs w:val="0"/>
          <w:strike w:val="0"/>
          <w:dstrike w:val="0"/>
          <w:sz w:val="20"/>
          <w:highlight w:val="none"/>
          <w:u w:val="none"/>
          <w:lang w:val="en-US" w:eastAsia="zh-CN"/>
        </w:rPr>
        <w:t xml:space="preserve">Therefore, in our understanding, it depends on the PA configurations for TxD but no in the scope of the WID [1]. Considering power classes may be different for a band operating in CA/DC and TxD, a per-band capability should be considered for a UE supporting TxD.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trike w:val="0"/>
          <w:dstrike w:val="0"/>
          <w:sz w:val="20"/>
          <w:highlight w:val="none"/>
          <w:u w:val="none"/>
          <w:lang w:val="en-US" w:eastAsia="zh-CN"/>
        </w:rPr>
      </w:pPr>
      <w:r>
        <w:rPr>
          <w:rFonts w:hint="eastAsia" w:eastAsia="宋体" w:cs="Times New Roman"/>
          <w:b/>
          <w:bCs/>
          <w:i/>
          <w:iCs/>
          <w:sz w:val="20"/>
          <w:highlight w:val="none"/>
          <w:u w:val="none"/>
          <w:lang w:val="en-US" w:eastAsia="zh-CN"/>
        </w:rPr>
        <w:t>Observation 4. For PC2 inter-band CA(23+26dBm), if TxD is supported, whether or not up to 27.8dBm is pending on the PA power configurations of TxD.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Times New Roman" w:cs="Times New Roman"/>
          <w:iCs w:val="0"/>
          <w:sz w:val="20"/>
          <w:szCs w:val="20"/>
          <w:lang w:val="en-US" w:eastAsia="zh-CN" w:bidi="ar-SA"/>
        </w:rPr>
      </w:pPr>
      <w:r>
        <w:rPr>
          <w:rFonts w:hint="eastAsia" w:eastAsia="宋体" w:cs="Times New Roman"/>
          <w:i w:val="0"/>
          <w:iCs w:val="0"/>
          <w:strike w:val="0"/>
          <w:dstrike w:val="0"/>
          <w:sz w:val="20"/>
          <w:highlight w:val="none"/>
          <w:u w:val="none"/>
          <w:lang w:val="en-US" w:eastAsia="zh-CN"/>
        </w:rPr>
        <w:t>In terms of</w:t>
      </w:r>
      <w:r>
        <w:rPr>
          <w:rFonts w:hint="eastAsia" w:eastAsia="Times New Roman"/>
          <w:iCs w:val="0"/>
          <w:sz w:val="20"/>
          <w:lang w:val="en-US" w:eastAsia="zh-CN"/>
        </w:rPr>
        <w:t xml:space="preserve"> the outcomes in TxD TR[5]: </w:t>
      </w:r>
      <w:r>
        <w:rPr>
          <w:rFonts w:hint="eastAsia" w:eastAsia="Times New Roman"/>
          <w:i/>
          <w:iCs/>
          <w:sz w:val="20"/>
          <w:lang w:val="en-US" w:eastAsia="zh-CN"/>
        </w:rPr>
        <w:t>RAN4 has agreed to introduce a new per-band capability signaling in Rel-16 for FR1 UEs supporting transparent TxD.</w:t>
      </w:r>
      <w:r>
        <w:rPr>
          <w:rFonts w:hint="eastAsia" w:eastAsia="Times New Roman"/>
          <w:i w:val="0"/>
          <w:iCs w:val="0"/>
          <w:sz w:val="20"/>
          <w:lang w:val="en-US" w:eastAsia="zh-CN"/>
        </w:rPr>
        <w:t xml:space="preserve"> </w:t>
      </w:r>
      <w:r>
        <w:rPr>
          <w:rFonts w:hint="eastAsia" w:ascii="Times New Roman" w:hAnsi="Times New Roman" w:eastAsia="Times New Roman" w:cs="Times New Roman"/>
          <w:iCs w:val="0"/>
          <w:sz w:val="20"/>
          <w:szCs w:val="20"/>
          <w:lang w:val="en-US" w:eastAsia="zh-CN" w:bidi="ar-SA"/>
        </w:rPr>
        <w:t>That is it is agreed that new power class capability signaling for NR in EN-DC is introduced in Rel-16 to distinguish power class capability of NR in EN-DC from power class capability of NR in SA.</w:t>
      </w:r>
    </w:p>
    <w:p>
      <w:pPr>
        <w:keepNext/>
        <w:keepLines/>
        <w:pageBreakBefore w:val="0"/>
        <w:widowControl/>
        <w:numPr>
          <w:ilvl w:val="-1"/>
          <w:numId w:val="0"/>
        </w:numPr>
        <w:kinsoku/>
        <w:wordWrap/>
        <w:overflowPunct/>
        <w:topLinePunct w:val="0"/>
        <w:autoSpaceDE/>
        <w:autoSpaceDN/>
        <w:bidi w:val="0"/>
        <w:adjustRightInd/>
        <w:snapToGrid/>
        <w:spacing w:after="120"/>
        <w:ind w:left="0" w:firstLine="0"/>
        <w:jc w:val="left"/>
        <w:textAlignment w:val="auto"/>
        <w:outlineLvl w:val="9"/>
        <w:rPr>
          <w:rFonts w:hint="eastAsia" w:eastAsia="Times New Roman" w:cs="Times New Roman"/>
          <w:i w:val="0"/>
          <w:iCs w:val="0"/>
          <w:strike w:val="0"/>
          <w:dstrike w:val="0"/>
          <w:sz w:val="20"/>
          <w:u w:val="none"/>
          <w:lang w:val="en-US" w:eastAsia="zh-CN"/>
        </w:rPr>
      </w:pPr>
      <w:r>
        <w:rPr>
          <w:rFonts w:hint="eastAsia" w:eastAsia="宋体" w:cs="Times New Roman"/>
          <w:i w:val="0"/>
          <w:iCs w:val="0"/>
          <w:strike w:val="0"/>
          <w:dstrike w:val="0"/>
          <w:sz w:val="20"/>
          <w:highlight w:val="none"/>
          <w:u w:val="none"/>
          <w:lang w:val="en-US" w:eastAsia="zh-CN"/>
        </w:rPr>
        <w:t>Similar as PC2 ENDC, a new per-band</w:t>
      </w:r>
      <w:r>
        <w:rPr>
          <w:rFonts w:hint="eastAsia" w:ascii="Times New Roman" w:hAnsi="Times New Roman" w:eastAsia="Times New Roman" w:cs="Times New Roman"/>
          <w:iCs w:val="0"/>
          <w:sz w:val="20"/>
          <w:szCs w:val="20"/>
          <w:lang w:val="en-US" w:eastAsia="zh-CN" w:bidi="ar-SA"/>
        </w:rPr>
        <w:t xml:space="preserve"> power class capability signaling for NR in </w:t>
      </w:r>
      <w:r>
        <w:rPr>
          <w:rFonts w:hint="eastAsia" w:eastAsia="Times New Roman" w:cs="Times New Roman"/>
          <w:iCs w:val="0"/>
          <w:sz w:val="20"/>
          <w:szCs w:val="20"/>
          <w:lang w:val="en-US" w:eastAsia="zh-CN" w:bidi="ar-SA"/>
        </w:rPr>
        <w:t>NR CA/DC</w:t>
      </w:r>
      <w:r>
        <w:rPr>
          <w:rFonts w:hint="eastAsia" w:ascii="Times New Roman" w:hAnsi="Times New Roman" w:eastAsia="Times New Roman" w:cs="Times New Roman"/>
          <w:iCs w:val="0"/>
          <w:sz w:val="20"/>
          <w:szCs w:val="20"/>
          <w:lang w:val="en-US" w:eastAsia="zh-CN" w:bidi="ar-SA"/>
        </w:rPr>
        <w:t xml:space="preserve"> </w:t>
      </w:r>
      <w:r>
        <w:rPr>
          <w:rFonts w:hint="eastAsia" w:eastAsia="Times New Roman" w:cs="Times New Roman"/>
          <w:iCs w:val="0"/>
          <w:sz w:val="20"/>
          <w:szCs w:val="20"/>
          <w:lang w:val="en-US" w:eastAsia="zh-CN" w:bidi="ar-SA"/>
        </w:rPr>
        <w:t xml:space="preserve">should be introduced </w:t>
      </w:r>
      <w:r>
        <w:rPr>
          <w:rFonts w:hint="eastAsia" w:ascii="Times New Roman" w:hAnsi="Times New Roman" w:eastAsia="Times New Roman" w:cs="Times New Roman"/>
          <w:iCs w:val="0"/>
          <w:sz w:val="20"/>
          <w:szCs w:val="20"/>
          <w:lang w:val="en-US" w:eastAsia="zh-CN" w:bidi="ar-SA"/>
        </w:rPr>
        <w:t xml:space="preserve">to distinguish power class capability of NR in </w:t>
      </w:r>
      <w:r>
        <w:rPr>
          <w:rFonts w:hint="eastAsia" w:eastAsia="Times New Roman" w:cs="Times New Roman"/>
          <w:iCs w:val="0"/>
          <w:sz w:val="20"/>
          <w:szCs w:val="20"/>
          <w:lang w:val="en-US" w:eastAsia="zh-CN" w:bidi="ar-SA"/>
        </w:rPr>
        <w:t>CA/DC</w:t>
      </w:r>
      <w:r>
        <w:rPr>
          <w:rFonts w:hint="eastAsia" w:ascii="Times New Roman" w:hAnsi="Times New Roman" w:eastAsia="Times New Roman" w:cs="Times New Roman"/>
          <w:iCs w:val="0"/>
          <w:sz w:val="20"/>
          <w:szCs w:val="20"/>
          <w:lang w:val="en-US" w:eastAsia="zh-CN" w:bidi="ar-SA"/>
        </w:rPr>
        <w:t xml:space="preserve"> from power class capability of NR in </w:t>
      </w:r>
      <w:r>
        <w:rPr>
          <w:rFonts w:hint="eastAsia" w:eastAsia="Times New Roman" w:cs="Times New Roman"/>
          <w:iCs w:val="0"/>
          <w:sz w:val="20"/>
          <w:szCs w:val="20"/>
          <w:lang w:val="en-US" w:eastAsia="zh-CN" w:bidi="ar-SA"/>
        </w:rPr>
        <w:t xml:space="preserve">single band </w:t>
      </w:r>
      <w:r>
        <w:rPr>
          <w:rFonts w:hint="eastAsia" w:ascii="Times New Roman" w:hAnsi="Times New Roman" w:eastAsia="Times New Roman" w:cs="Times New Roman"/>
          <w:iCs w:val="0"/>
          <w:sz w:val="20"/>
          <w:szCs w:val="20"/>
          <w:lang w:val="en-US" w:eastAsia="zh-CN" w:bidi="ar-SA"/>
        </w:rPr>
        <w:t>SA</w:t>
      </w:r>
      <w:r>
        <w:rPr>
          <w:rFonts w:hint="eastAsia" w:eastAsia="Times New Roman" w:cs="Times New Roman"/>
          <w:iCs w:val="0"/>
          <w:sz w:val="20"/>
          <w:szCs w:val="20"/>
          <w:lang w:val="en-US" w:eastAsia="zh-CN" w:bidi="ar-SA"/>
        </w:rPr>
        <w:t xml:space="preserve">, to </w:t>
      </w:r>
      <w:r>
        <w:rPr>
          <w:rFonts w:hint="eastAsia" w:eastAsia="Times New Roman"/>
          <w:b w:val="0"/>
          <w:bCs w:val="0"/>
          <w:sz w:val="20"/>
          <w:lang w:val="en-US" w:eastAsia="zh-CN"/>
        </w:rPr>
        <w:t>enable increase of UE high limit for NR CA/DC when TxD is supported</w:t>
      </w:r>
      <w:r>
        <w:rPr>
          <w:rFonts w:hint="eastAsia" w:ascii="Times New Roman" w:hAnsi="Times New Roman" w:eastAsia="Times New Roman" w:cs="Times New Roman"/>
          <w:iCs w:val="0"/>
          <w:sz w:val="20"/>
          <w:szCs w:val="20"/>
          <w:lang w:val="en-US" w:eastAsia="zh-CN" w:bidi="ar-SA"/>
        </w:rPr>
        <w:t>.</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5. To distinguish power class capability of NR in EN-DC from power class capability of NR in SA, a new per-band capability signaling was agreed to be introduced for UEs supporting transparent TxD. </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bCs/>
          <w:i/>
          <w:iCs/>
          <w:sz w:val="20"/>
          <w:highlight w:val="none"/>
          <w:u w:val="none"/>
          <w:lang w:val="en-US" w:eastAsia="zh-CN"/>
        </w:rPr>
      </w:pPr>
      <w:r>
        <w:rPr>
          <w:rFonts w:hint="eastAsia" w:eastAsia="宋体" w:cs="Times New Roman"/>
          <w:b/>
          <w:bCs/>
          <w:i/>
          <w:iCs/>
          <w:strike w:val="0"/>
          <w:dstrike w:val="0"/>
          <w:sz w:val="20"/>
          <w:highlight w:val="none"/>
          <w:u w:val="none"/>
          <w:lang w:val="en-US" w:eastAsia="zh-CN"/>
        </w:rPr>
        <w:t xml:space="preserve">Proposal 3. </w:t>
      </w:r>
      <w:r>
        <w:rPr>
          <w:rFonts w:hint="eastAsia" w:eastAsia="宋体" w:cs="Times New Roman"/>
          <w:b/>
          <w:bCs/>
          <w:i/>
          <w:iCs/>
          <w:sz w:val="20"/>
          <w:highlight w:val="none"/>
          <w:u w:val="none"/>
          <w:lang w:val="en-US" w:eastAsia="zh-CN"/>
        </w:rPr>
        <w:t>A new per-band power class capability signaling for NR in NR CA/DC should be introduced to distinguish power class capability of NR in CA/DC from power class capability of NR in single band SA.</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i w:val="0"/>
          <w:iCs w:val="0"/>
          <w:sz w:val="20"/>
          <w:highlight w:val="none"/>
          <w:u w:val="none"/>
          <w:lang w:val="en-US" w:eastAsia="zh-CN"/>
        </w:rPr>
      </w:pPr>
      <w:r>
        <w:rPr>
          <w:rFonts w:hint="eastAsia" w:eastAsia="宋体"/>
          <w:iCs w:val="0"/>
          <w:strike w:val="0"/>
          <w:dstrike w:val="0"/>
          <w:sz w:val="20"/>
          <w:lang w:val="en-US" w:eastAsia="zh-CN"/>
        </w:rPr>
        <w:t>With the per-band capability signaling for NR CA/DC band combination as proposed in proposal 3, the total power of the inter-band CA/DC shall be the sum of the the individual rated PA power class signaled by the per-band capability for the NR when TxD is supported.</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eastAsia="宋体" w:cs="Times New Roman"/>
          <w:b w:val="0"/>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give</w:t>
      </w:r>
      <w:r>
        <w:rPr>
          <w:rFonts w:hint="eastAsia" w:eastAsia="宋体" w:cs="Times New Roman"/>
          <w:b w:val="0"/>
          <w:i w:val="0"/>
          <w:iCs w:val="0"/>
          <w:sz w:val="20"/>
          <w:szCs w:val="22"/>
          <w:highlight w:val="none"/>
          <w:lang w:val="en-US" w:eastAsia="zh-CN"/>
        </w:rPr>
        <w:t xml:space="preserve"> </w:t>
      </w:r>
      <w:r>
        <w:rPr>
          <w:rFonts w:hint="eastAsia" w:eastAsia="宋体" w:cs="Times New Roman"/>
          <w:i w:val="0"/>
          <w:iCs w:val="0"/>
          <w:sz w:val="20"/>
          <w:szCs w:val="22"/>
          <w:highlight w:val="none"/>
          <w:lang w:val="en-US" w:eastAsia="zh-CN"/>
        </w:rPr>
        <w:t xml:space="preserve">some further discussions on the open issues mentioned in the WF, including </w:t>
      </w:r>
      <w:r>
        <w:rPr>
          <w:b w:val="0"/>
          <w:bCs w:val="0"/>
          <w:sz w:val="20"/>
          <w:u w:val="none"/>
          <w:lang w:val="en-US" w:eastAsia="zh-CN"/>
        </w:rPr>
        <w:t>P</w:t>
      </w:r>
      <w:r>
        <w:rPr>
          <w:b w:val="0"/>
          <w:bCs w:val="0"/>
          <w:sz w:val="20"/>
          <w:u w:val="none"/>
          <w:vertAlign w:val="subscript"/>
          <w:lang w:val="en-US" w:eastAsia="zh-CN"/>
        </w:rPr>
        <w:t>CMAX_L,f,c</w:t>
      </w:r>
      <w:r>
        <w:rPr>
          <w:rFonts w:hint="eastAsia" w:eastAsia="宋体" w:cs="Times New Roman"/>
          <w:i w:val="0"/>
          <w:iCs w:val="0"/>
          <w:sz w:val="20"/>
          <w:szCs w:val="22"/>
          <w:highlight w:val="none"/>
          <w:lang w:val="en-US" w:eastAsia="zh-CN"/>
        </w:rPr>
        <w:t xml:space="preserve">, MSD and TxD issue. </w:t>
      </w:r>
      <w:r>
        <w:rPr>
          <w:rFonts w:hint="eastAsia" w:eastAsia="宋体" w:cs="Times New Roman"/>
          <w:b w:val="0"/>
          <w:i w:val="0"/>
          <w:iCs w:val="0"/>
          <w:sz w:val="20"/>
          <w:szCs w:val="22"/>
          <w:highlight w:val="none"/>
          <w:lang w:val="en-US" w:eastAsia="zh-CN"/>
        </w:rPr>
        <w:t>The conclusion can be summarized as:</w:t>
      </w:r>
    </w:p>
    <w:p>
      <w:pPr>
        <w:keepNext/>
        <w:keepLines/>
        <w:pageBreakBefore w:val="0"/>
        <w:widowControl/>
        <w:numPr>
          <w:ilvl w:val="0"/>
          <w:numId w:val="0"/>
        </w:numPr>
        <w:kinsoku/>
        <w:wordWrap/>
        <w:overflowPunct w:val="0"/>
        <w:topLinePunct w:val="0"/>
        <w:autoSpaceDE w:val="0"/>
        <w:autoSpaceDN w:val="0"/>
        <w:bidi w:val="0"/>
        <w:adjustRightInd w:val="0"/>
        <w:jc w:val="both"/>
        <w:textAlignment w:val="baseline"/>
        <w:rPr>
          <w:rFonts w:hint="eastAsia" w:eastAsia="Times New Roman" w:cs="Times New Roman"/>
          <w:b/>
          <w:bCs/>
          <w:i/>
          <w:iCs/>
          <w:sz w:val="20"/>
          <w:lang w:val="en-US" w:eastAsia="zh-CN"/>
        </w:rPr>
      </w:pPr>
      <w:r>
        <w:rPr>
          <w:rFonts w:hint="eastAsia" w:eastAsia="宋体" w:cs="Times New Roman"/>
          <w:b/>
          <w:bCs/>
          <w:i/>
          <w:iCs/>
          <w:sz w:val="20"/>
          <w:highlight w:val="none"/>
          <w:u w:val="none"/>
          <w:lang w:val="en-US" w:eastAsia="zh-CN"/>
        </w:rPr>
        <w:t xml:space="preserve">Observation 1. </w:t>
      </w:r>
      <w:r>
        <w:rPr>
          <w:rFonts w:hint="eastAsia" w:eastAsia="Times New Roman" w:cs="Times New Roman"/>
          <w:b/>
          <w:bCs/>
          <w:i/>
          <w:iCs/>
          <w:sz w:val="20"/>
          <w:lang w:val="en-US" w:eastAsia="zh-CN"/>
        </w:rPr>
        <w:t>power class for CA band combination (</w:t>
      </w:r>
      <w:r>
        <w:rPr>
          <w:b/>
          <w:bCs/>
          <w:i/>
          <w:iCs/>
          <w:sz w:val="20"/>
          <w:lang w:bidi="bn-IN"/>
        </w:rPr>
        <w:t>P</w:t>
      </w:r>
      <w:r>
        <w:rPr>
          <w:b/>
          <w:bCs/>
          <w:i/>
          <w:iCs/>
          <w:sz w:val="20"/>
          <w:vertAlign w:val="subscript"/>
          <w:lang w:bidi="bn-IN"/>
        </w:rPr>
        <w:t>PowerClass,CA</w:t>
      </w:r>
      <w:r>
        <w:rPr>
          <w:rFonts w:hint="eastAsia" w:eastAsia="Times New Roman" w:cs="Times New Roman"/>
          <w:b/>
          <w:bCs/>
          <w:i/>
          <w:iCs/>
          <w:sz w:val="20"/>
          <w:lang w:val="en-US" w:eastAsia="zh-CN"/>
        </w:rPr>
        <w:t>) should be always valid.</w:t>
      </w:r>
    </w:p>
    <w:p>
      <w:pPr>
        <w:keepNext/>
        <w:keepLines/>
        <w:pageBreakBefore w:val="0"/>
        <w:widowControl w:val="0"/>
        <w:numPr>
          <w:ilvl w:val="0"/>
          <w:numId w:val="0"/>
        </w:numPr>
        <w:kinsoku/>
        <w:wordWrap/>
        <w:overflowPunct/>
        <w:topLinePunct w:val="0"/>
        <w:autoSpaceDE/>
        <w:autoSpaceDN/>
        <w:bidi w:val="0"/>
        <w:adjustRightInd/>
        <w:jc w:val="left"/>
        <w:textAlignment w:val="auto"/>
        <w:rPr>
          <w:rFonts w:hint="eastAsia"/>
          <w:b/>
          <w:bCs/>
          <w:i w:val="0"/>
          <w:iCs w:val="0"/>
          <w:sz w:val="20"/>
          <w:vertAlign w:val="baseline"/>
          <w:lang w:val="en-US" w:eastAsia="zh-CN"/>
        </w:rPr>
      </w:pPr>
      <w:r>
        <w:rPr>
          <w:rFonts w:hint="eastAsia" w:eastAsia="宋体" w:cs="Times New Roman"/>
          <w:b/>
          <w:bCs/>
          <w:i/>
          <w:iCs/>
          <w:sz w:val="20"/>
          <w:highlight w:val="none"/>
          <w:u w:val="none"/>
          <w:lang w:val="en-US" w:eastAsia="zh-CN"/>
        </w:rPr>
        <w:t xml:space="preserve">Proposal 1. </w:t>
      </w:r>
      <w:r>
        <w:rPr>
          <w:b/>
          <w:bCs/>
          <w:i w:val="0"/>
          <w:iCs w:val="0"/>
          <w:sz w:val="20"/>
          <w:lang w:val="en-US" w:eastAsia="zh-CN"/>
        </w:rPr>
        <w:t>P</w:t>
      </w:r>
      <w:r>
        <w:rPr>
          <w:b/>
          <w:bCs/>
          <w:i w:val="0"/>
          <w:iCs w:val="0"/>
          <w:sz w:val="20"/>
          <w:vertAlign w:val="subscript"/>
          <w:lang w:val="en-US" w:eastAsia="zh-CN"/>
        </w:rPr>
        <w:t>CMAX_</w:t>
      </w:r>
      <w:r>
        <w:rPr>
          <w:rFonts w:hint="eastAsia"/>
          <w:b/>
          <w:bCs/>
          <w:i w:val="0"/>
          <w:iCs w:val="0"/>
          <w:sz w:val="20"/>
          <w:vertAlign w:val="subscript"/>
          <w:lang w:val="en-US" w:eastAsia="zh-CN"/>
        </w:rPr>
        <w:t>L</w:t>
      </w:r>
      <w:r>
        <w:rPr>
          <w:b/>
          <w:bCs/>
          <w:i w:val="0"/>
          <w:iCs w:val="0"/>
          <w:sz w:val="20"/>
          <w:vertAlign w:val="subscript"/>
          <w:lang w:val="en-US" w:eastAsia="zh-CN"/>
        </w:rPr>
        <w:t>,f,c</w:t>
      </w:r>
      <w:r>
        <w:rPr>
          <w:rFonts w:hint="eastAsia"/>
          <w:b/>
          <w:bCs/>
          <w:i w:val="0"/>
          <w:iCs w:val="0"/>
          <w:sz w:val="20"/>
          <w:vertAlign w:val="baseline"/>
          <w:lang w:val="en-US" w:eastAsia="zh-CN"/>
        </w:rPr>
        <w:t xml:space="preserve"> is keep unchanged.</w:t>
      </w:r>
    </w:p>
    <w:p>
      <w:pPr>
        <w:keepNext/>
        <w:keepLines/>
        <w:pageBreakBefore w:val="0"/>
        <w:numPr>
          <w:ilvl w:val="0"/>
          <w:numId w:val="0"/>
        </w:numPr>
        <w:kinsoku/>
        <w:wordWrap/>
        <w:topLinePunct w:val="0"/>
        <w:bidi w:val="0"/>
        <w:spacing w:after="120"/>
        <w:outlineLvl w:val="9"/>
        <w:rPr>
          <w:rFonts w:hint="default" w:eastAsia="宋体" w:cs="Times New Roman"/>
          <w:b/>
          <w:bCs/>
          <w:i/>
          <w:iCs/>
          <w:sz w:val="20"/>
          <w:lang w:val="en-US" w:eastAsia="zh-CN"/>
        </w:rPr>
      </w:pPr>
      <w:r>
        <w:rPr>
          <w:rFonts w:hint="eastAsia" w:eastAsia="宋体" w:cs="Times New Roman"/>
          <w:b/>
          <w:bCs/>
          <w:i/>
          <w:iCs/>
          <w:sz w:val="20"/>
          <w:highlight w:val="none"/>
          <w:u w:val="none"/>
          <w:lang w:val="en-US" w:eastAsia="zh-CN"/>
        </w:rPr>
        <w:t xml:space="preserve">Observation 2. By using the same note of </w:t>
      </w:r>
      <w:r>
        <w:rPr>
          <w:rFonts w:ascii="Times New Roman" w:hAnsi="Times New Roman" w:cs="Times New Roman"/>
          <w:b/>
          <w:bCs/>
          <w:i/>
          <w:iCs/>
          <w:sz w:val="20"/>
        </w:rPr>
        <w:t>min(+2</w:t>
      </w:r>
      <w:r>
        <w:rPr>
          <w:rFonts w:hint="default" w:ascii="Times New Roman" w:hAnsi="Times New Roman" w:cs="Times New Roman"/>
          <w:b/>
          <w:bCs/>
          <w:i/>
          <w:iCs/>
          <w:sz w:val="20"/>
          <w:lang w:val="en-US" w:eastAsia="zh-CN"/>
        </w:rPr>
        <w:t>3</w:t>
      </w:r>
      <w:r>
        <w:rPr>
          <w:rFonts w:ascii="Times New Roman" w:hAnsi="Times New Roman" w:cs="Times New Roman"/>
          <w:b/>
          <w:bCs/>
          <w:i/>
          <w:iCs/>
          <w:sz w:val="20"/>
        </w:rPr>
        <w:t xml:space="preserve"> dBm, </w:t>
      </w:r>
      <w:r>
        <w:rPr>
          <w:rFonts w:ascii="Times New Roman" w:hAnsi="Times New Roman" w:cs="Times New Roman"/>
          <w:b/>
          <w:bCs/>
          <w:i/>
          <w:iCs/>
          <w:sz w:val="20"/>
          <w:lang w:val="en-US" w:eastAsia="zh-CN"/>
        </w:rPr>
        <w:t>P</w:t>
      </w:r>
      <w:r>
        <w:rPr>
          <w:rFonts w:ascii="Times New Roman" w:hAnsi="Times New Roman" w:cs="Times New Roman"/>
          <w:b/>
          <w:bCs/>
          <w:i/>
          <w:iCs/>
          <w:sz w:val="20"/>
          <w:vertAlign w:val="subscript"/>
          <w:lang w:val="en-US" w:eastAsia="zh-CN"/>
        </w:rPr>
        <w:t>CMAX_L,f,c</w:t>
      </w:r>
      <w:r>
        <w:rPr>
          <w:rFonts w:ascii="Times New Roman" w:hAnsi="Times New Roman" w:cs="Times New Roman"/>
          <w:b/>
          <w:bCs/>
          <w:i/>
          <w:iCs/>
          <w:sz w:val="20"/>
        </w:rPr>
        <w:t>)</w:t>
      </w:r>
      <w:r>
        <w:rPr>
          <w:rFonts w:hint="eastAsia" w:eastAsia="宋体" w:cs="Times New Roman"/>
          <w:b/>
          <w:bCs/>
          <w:i/>
          <w:iCs/>
          <w:sz w:val="20"/>
          <w:highlight w:val="none"/>
          <w:u w:val="none"/>
          <w:lang w:val="en-US" w:eastAsia="zh-CN"/>
        </w:rPr>
        <w:t xml:space="preserve">, </w:t>
      </w:r>
      <w:r>
        <w:rPr>
          <w:rFonts w:hint="eastAsia" w:eastAsia="宋体" w:cs="Times New Roman"/>
          <w:b/>
          <w:bCs/>
          <w:i/>
          <w:iCs/>
          <w:sz w:val="20"/>
          <w:lang w:val="en-US" w:eastAsia="zh-CN"/>
        </w:rPr>
        <w:t xml:space="preserve">whether or not increasing </w:t>
      </w:r>
      <w:r>
        <w:rPr>
          <w:rFonts w:ascii="Times New Roman" w:hAnsi="Times New Roman" w:cs="Times New Roman"/>
          <w:b/>
          <w:bCs/>
          <w:i/>
          <w:iCs/>
          <w:sz w:val="20"/>
          <w:lang w:val="en-US" w:eastAsia="zh-CN"/>
        </w:rPr>
        <w:t>P</w:t>
      </w:r>
      <w:r>
        <w:rPr>
          <w:rFonts w:ascii="Times New Roman" w:hAnsi="Times New Roman" w:cs="Times New Roman"/>
          <w:b/>
          <w:bCs/>
          <w:i/>
          <w:iCs/>
          <w:sz w:val="20"/>
          <w:vertAlign w:val="subscript"/>
          <w:lang w:val="en-US" w:eastAsia="zh-CN"/>
        </w:rPr>
        <w:t>CMAX_L,f,c</w:t>
      </w:r>
      <w:r>
        <w:rPr>
          <w:rFonts w:hint="eastAsia" w:cs="Times New Roman"/>
          <w:b/>
          <w:bCs/>
          <w:i/>
          <w:iCs/>
          <w:sz w:val="20"/>
          <w:vertAlign w:val="subscript"/>
          <w:lang w:val="en-US" w:eastAsia="zh-CN"/>
        </w:rPr>
        <w:t xml:space="preserve"> </w:t>
      </w:r>
      <w:r>
        <w:rPr>
          <w:rFonts w:hint="eastAsia" w:eastAsia="宋体" w:cs="Times New Roman"/>
          <w:b/>
          <w:bCs/>
          <w:i/>
          <w:iCs/>
          <w:sz w:val="20"/>
          <w:lang w:val="en-US" w:eastAsia="zh-CN"/>
        </w:rPr>
        <w:t>has no impact on the 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3. Defining new MSD values for all possible power configurations would cause cumbersome specification and higher work load in RAN4 and higher test burden in RAN5. </w:t>
      </w:r>
    </w:p>
    <w:p>
      <w:pPr>
        <w:keepNext/>
        <w:keepLines/>
        <w:pageBreakBefore w:val="0"/>
        <w:widowControl w:val="0"/>
        <w:numPr>
          <w:ilvl w:val="0"/>
          <w:numId w:val="0"/>
        </w:numPr>
        <w:kinsoku/>
        <w:wordWrap/>
        <w:overflowPunct/>
        <w:topLinePunct w:val="0"/>
        <w:autoSpaceDE/>
        <w:autoSpaceDN/>
        <w:bidi w:val="0"/>
        <w:adjustRightInd/>
        <w:jc w:val="left"/>
        <w:textAlignment w:val="auto"/>
        <w:rPr>
          <w:rFonts w:hint="eastAsia"/>
          <w:b/>
          <w:bCs/>
          <w:i w:val="0"/>
          <w:iCs w:val="0"/>
          <w:sz w:val="20"/>
          <w:vertAlign w:val="baseline"/>
          <w:lang w:val="en-US" w:eastAsia="zh-CN"/>
        </w:rPr>
      </w:pPr>
      <w:r>
        <w:rPr>
          <w:rFonts w:hint="eastAsia" w:eastAsia="宋体" w:cs="Times New Roman"/>
          <w:b/>
          <w:bCs/>
          <w:i/>
          <w:iCs/>
          <w:sz w:val="20"/>
          <w:highlight w:val="none"/>
          <w:u w:val="none"/>
          <w:lang w:val="en-US" w:eastAsia="zh-CN"/>
        </w:rPr>
        <w:t>Proposal 2. No need to re-valuate MSD</w:t>
      </w:r>
      <w:r>
        <w:rPr>
          <w:rFonts w:hint="eastAsia"/>
          <w:b/>
          <w:bCs/>
          <w:i w:val="0"/>
          <w:iCs w:val="0"/>
          <w:sz w:val="20"/>
          <w:vertAlign w:val="baseli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Observation 4. For PC2 inter-band CA(23+26dBm), if TxD is supported, whether or not up to 27.8dBm is pending on the PA power configurations of TxD.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 xml:space="preserve">Observation 5. To distinguish power class capability of NR in EN-DC from power class capability of NR in SA, a new per-band capability signaling was agreed to be introduced for UEs supporting transparent TxD.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bCs/>
          <w:i/>
          <w:iCs/>
          <w:sz w:val="20"/>
          <w:highlight w:val="none"/>
          <w:u w:val="none"/>
          <w:lang w:val="en-US" w:eastAsia="zh-CN"/>
        </w:rPr>
      </w:pPr>
      <w:r>
        <w:rPr>
          <w:rFonts w:hint="eastAsia" w:eastAsia="宋体" w:cs="Times New Roman"/>
          <w:b/>
          <w:bCs/>
          <w:i/>
          <w:iCs/>
          <w:strike w:val="0"/>
          <w:dstrike w:val="0"/>
          <w:sz w:val="20"/>
          <w:highlight w:val="none"/>
          <w:u w:val="none"/>
          <w:lang w:val="en-US" w:eastAsia="zh-CN"/>
        </w:rPr>
        <w:t xml:space="preserve">Proposal 3. </w:t>
      </w:r>
      <w:r>
        <w:rPr>
          <w:rFonts w:hint="eastAsia" w:eastAsia="宋体" w:cs="Times New Roman"/>
          <w:b/>
          <w:bCs/>
          <w:i/>
          <w:iCs/>
          <w:sz w:val="20"/>
          <w:highlight w:val="none"/>
          <w:u w:val="none"/>
          <w:lang w:val="en-US" w:eastAsia="zh-CN"/>
        </w:rPr>
        <w:t>A new per-band power class capability signaling for NR in NR CA/DC should be introduced to distinguish power class capability of NR in CA/DC from power class capability of NR in single band SA.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i w:val="0"/>
          <w:iCs w:val="0"/>
          <w:sz w:val="20"/>
          <w:szCs w:val="22"/>
          <w:highlight w:val="none"/>
          <w:lang w:val="en-US" w:eastAsia="zh-CN"/>
        </w:rPr>
      </w:pPr>
      <w:r>
        <w:rPr>
          <w:rFonts w:hint="eastAsia" w:eastAsia="宋体"/>
          <w:iCs w:val="0"/>
          <w:strike w:val="0"/>
          <w:dstrike w:val="0"/>
          <w:sz w:val="20"/>
          <w:lang w:val="en-US" w:eastAsia="zh-CN"/>
        </w:rPr>
        <w:t>With the per-band capability signaling for NR CA/DC band combination as proposed in proposal 3, the total power of the inter-band CA/DC shall be the sum of the the individual rated PA power class signaled by the per-band capability for the NR when TxD is supported.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[1]   RP-212622</w:t>
      </w:r>
      <w:r>
        <w:rPr>
          <w:rFonts w:hint="eastAsia" w:ascii="Times New Roman" w:hAnsi="Times New Roman" w:eastAsia="宋体" w:cs="Times New Roman"/>
          <w:i w:val="0"/>
          <w:sz w:val="20"/>
          <w:szCs w:val="22"/>
          <w:highlight w:val="none"/>
          <w:lang w:val="en-US" w:eastAsia="zh-CN"/>
        </w:rPr>
        <w:tab/>
      </w:r>
      <w:r>
        <w:rPr>
          <w:rFonts w:hint="eastAsia" w:ascii="Times New Roman" w:hAnsi="Times New Roman" w:eastAsia="宋体" w:cs="Times New Roman"/>
          <w:i w:val="0"/>
          <w:sz w:val="20"/>
          <w:szCs w:val="22"/>
          <w:highlight w:val="none"/>
          <w:lang w:val="en-US" w:eastAsia="zh-CN"/>
        </w:rPr>
        <w:t>New WID: Increasing UE power high limit for CA and DC, China Telecom, Qualcomm</w:t>
      </w:r>
      <w:r>
        <w:rPr>
          <w:rFonts w:hint="eastAsia" w:ascii="Times New Roman" w:hAnsi="Times New Roman" w:eastAsia="宋体" w:cs="Times New Roman"/>
          <w:i w:val="0"/>
          <w:sz w:val="20"/>
          <w:szCs w:val="22"/>
          <w:highlight w:val="none"/>
          <w:lang w:val="en-US" w:eastAsia="zh-CN"/>
        </w:rPr>
        <w:tab/>
      </w:r>
    </w:p>
    <w:p>
      <w:pPr>
        <w:keepNext/>
        <w:keepLines/>
        <w:pageBreakBefore w:val="0"/>
        <w:widowControl w:val="0"/>
        <w:numPr>
          <w:ilvl w:val="0"/>
          <w:numId w:val="0"/>
        </w:numPr>
        <w:kinsoku/>
        <w:wordWrap/>
        <w:topLinePunct w:val="0"/>
        <w:bidi w:val="0"/>
        <w:spacing w:after="120"/>
        <w:ind w:left="0" w:firstLine="0"/>
        <w:outlineLvl w:val="9"/>
        <w:rPr>
          <w:rFonts w:hint="eastAsia" w:ascii="Times New Roman" w:hAnsi="Times New Roman" w:eastAsia="宋体" w:cs="Times New Roman"/>
          <w:i w:val="0"/>
          <w:sz w:val="20"/>
          <w:szCs w:val="22"/>
          <w:highlight w:val="none"/>
          <w:lang w:val="en-US" w:eastAsia="zh-CN"/>
        </w:rPr>
      </w:pPr>
      <w:r>
        <w:rPr>
          <w:rFonts w:hint="eastAsia" w:eastAsia="宋体"/>
          <w:sz w:val="20"/>
          <w:szCs w:val="22"/>
          <w:highlight w:val="none"/>
          <w:lang w:val="en-US" w:eastAsia="zh-CN"/>
        </w:rPr>
        <w:t>[2] R4-2119945</w:t>
      </w:r>
      <w:r>
        <w:rPr>
          <w:rFonts w:hint="eastAsia" w:eastAsia="宋体"/>
          <w:sz w:val="20"/>
          <w:szCs w:val="22"/>
          <w:highlight w:val="none"/>
          <w:lang w:val="en-US" w:eastAsia="zh-CN"/>
        </w:rPr>
        <w:tab/>
      </w:r>
      <w:r>
        <w:rPr>
          <w:rFonts w:hint="eastAsia" w:eastAsia="宋体"/>
          <w:sz w:val="20"/>
          <w:szCs w:val="22"/>
          <w:highlight w:val="none"/>
          <w:lang w:val="en-US" w:eastAsia="zh-CN"/>
        </w:rPr>
        <w:t>W</w:t>
      </w:r>
      <w:r>
        <w:rPr>
          <w:rFonts w:hint="eastAsia" w:eastAsia="宋体"/>
          <w:sz w:val="20"/>
          <w:szCs w:val="22"/>
          <w:highlight w:val="none"/>
          <w:vertAlign w:val="baseline"/>
          <w:lang w:val="en-US" w:eastAsia="zh-CN"/>
        </w:rPr>
        <w:t xml:space="preserve">ay Forward on Increased MOP for CA/DC,  </w:t>
      </w:r>
      <w:r>
        <w:rPr>
          <w:rFonts w:hint="eastAsia" w:ascii="Times New Roman" w:hAnsi="Times New Roman" w:eastAsia="宋体" w:cs="Times New Roman"/>
          <w:i w:val="0"/>
          <w:sz w:val="20"/>
          <w:szCs w:val="22"/>
          <w:highlight w:val="none"/>
          <w:lang w:val="en-US" w:eastAsia="zh-CN"/>
        </w:rPr>
        <w:t>Qualcomm</w:t>
      </w:r>
    </w:p>
    <w:p>
      <w:pPr>
        <w:keepNext/>
        <w:keepLines/>
        <w:pageBreakBefore w:val="0"/>
        <w:widowControl w:val="0"/>
        <w:numPr>
          <w:ilvl w:val="0"/>
          <w:numId w:val="0"/>
        </w:numPr>
        <w:kinsoku/>
        <w:wordWrap/>
        <w:topLinePunct w:val="0"/>
        <w:bidi w:val="0"/>
        <w:spacing w:before="0"/>
        <w:ind w:left="0" w:firstLine="0"/>
        <w:jc w:val="left"/>
        <w:rPr>
          <w:rFonts w:hint="eastAsia" w:ascii="Times New Roman" w:hAnsi="Times New Roman" w:eastAsia="宋体" w:cs="Times New Roman"/>
          <w:b w:val="0"/>
          <w:i w:val="0"/>
          <w:sz w:val="20"/>
          <w:szCs w:val="22"/>
          <w:highlight w:val="none"/>
          <w:lang w:val="en-US" w:eastAsia="zh-CN" w:bidi="ar-SA"/>
        </w:rPr>
      </w:pPr>
      <w:r>
        <w:rPr>
          <w:rFonts w:hint="eastAsia" w:eastAsia="宋体" w:cs="Times New Roman"/>
          <w:i w:val="0"/>
          <w:sz w:val="20"/>
          <w:szCs w:val="22"/>
          <w:highlight w:val="none"/>
          <w:lang w:val="en-US" w:eastAsia="zh-CN"/>
        </w:rPr>
        <w:t xml:space="preserve">[3] </w:t>
      </w:r>
      <w:r>
        <w:rPr>
          <w:rFonts w:hint="eastAsia" w:ascii="Times New Roman" w:hAnsi="Times New Roman" w:eastAsia="宋体" w:cs="Times New Roman"/>
          <w:b w:val="0"/>
          <w:sz w:val="20"/>
          <w:szCs w:val="22"/>
          <w:highlight w:val="none"/>
          <w:lang w:val="en-US" w:eastAsia="zh-CN"/>
        </w:rPr>
        <w:t xml:space="preserve">R4-2119916, </w:t>
      </w:r>
      <w:r>
        <w:rPr>
          <w:rFonts w:hint="eastAsia" w:ascii="Times New Roman" w:hAnsi="Times New Roman" w:eastAsia="宋体" w:cs="Times New Roman"/>
          <w:sz w:val="20"/>
          <w:szCs w:val="22"/>
          <w:highlight w:val="none"/>
          <w:lang w:val="en-US" w:eastAsia="zh-CN"/>
        </w:rPr>
        <w:t xml:space="preserve">Email discussion summary for [101-e][116] NR_Power_Limit_CA_DC,Moderator (Qualcomm </w:t>
      </w:r>
      <w:r>
        <w:rPr>
          <w:rFonts w:hint="eastAsia" w:ascii="Times New Roman" w:hAnsi="Times New Roman" w:eastAsia="宋体" w:cs="Times New Roman"/>
          <w:b w:val="0"/>
          <w:i w:val="0"/>
          <w:sz w:val="20"/>
          <w:szCs w:val="22"/>
          <w:highlight w:val="none"/>
          <w:lang w:val="en-US" w:eastAsia="zh-CN" w:bidi="ar-SA"/>
        </w:rPr>
        <w:t>Incorporated)</w:t>
      </w:r>
    </w:p>
    <w:p>
      <w:pPr>
        <w:keepNext/>
        <w:keepLines/>
        <w:pageBreakBefore w:val="0"/>
        <w:widowControl w:val="0"/>
        <w:numPr>
          <w:ilvl w:val="0"/>
          <w:numId w:val="0"/>
        </w:numPr>
        <w:kinsoku/>
        <w:wordWrap/>
        <w:topLinePunct w:val="0"/>
        <w:bidi w:val="0"/>
        <w:spacing w:before="0"/>
        <w:ind w:left="0" w:firstLine="0"/>
        <w:jc w:val="left"/>
        <w:rPr>
          <w:rFonts w:hint="eastAsia" w:ascii="Times New Roman" w:hAnsi="Times New Roman" w:eastAsia="宋体" w:cs="Times New Roman"/>
          <w:b w:val="0"/>
          <w:i w:val="0"/>
          <w:sz w:val="20"/>
          <w:szCs w:val="22"/>
          <w:highlight w:val="none"/>
          <w:lang w:val="en-US" w:eastAsia="zh-CN" w:bidi="ar-SA"/>
        </w:rPr>
      </w:pPr>
      <w:r>
        <w:rPr>
          <w:rFonts w:hint="eastAsia" w:ascii="Times New Roman" w:hAnsi="Times New Roman" w:eastAsia="宋体" w:cs="Times New Roman"/>
          <w:b w:val="0"/>
          <w:i w:val="0"/>
          <w:sz w:val="20"/>
          <w:szCs w:val="22"/>
          <w:highlight w:val="none"/>
          <w:lang w:val="en-US" w:eastAsia="zh-CN" w:bidi="ar-SA"/>
        </w:rPr>
        <w:t>[4] R4-2118183, Discussion on increase UE maximum power for NR uplink inter band CA,ZTE</w:t>
      </w:r>
    </w:p>
    <w:p>
      <w:pPr>
        <w:keepNext/>
        <w:keepLines/>
        <w:pageBreakBefore w:val="0"/>
        <w:widowControl w:val="0"/>
        <w:numPr>
          <w:ilvl w:val="0"/>
          <w:numId w:val="0"/>
        </w:numPr>
        <w:kinsoku/>
        <w:wordWrap/>
        <w:topLinePunct w:val="0"/>
        <w:bidi w:val="0"/>
        <w:spacing w:before="0"/>
        <w:ind w:left="0" w:firstLine="0"/>
        <w:jc w:val="left"/>
        <w:rPr>
          <w:rFonts w:hint="eastAsia" w:ascii="Times New Roman" w:hAnsi="Times New Roman" w:eastAsia="宋体" w:cs="Times New Roman"/>
          <w:b w:val="0"/>
          <w:i w:val="0"/>
          <w:sz w:val="20"/>
          <w:szCs w:val="22"/>
          <w:highlight w:val="none"/>
          <w:lang w:val="en-US" w:eastAsia="zh-CN" w:bidi="ar-SA"/>
        </w:rPr>
      </w:pPr>
      <w:bookmarkStart w:id="3" w:name="specType1"/>
      <w:r>
        <w:rPr>
          <w:rFonts w:hint="eastAsia" w:ascii="Times New Roman" w:hAnsi="Times New Roman" w:eastAsia="宋体" w:cs="Times New Roman"/>
          <w:b w:val="0"/>
          <w:i w:val="0"/>
          <w:sz w:val="20"/>
          <w:szCs w:val="22"/>
          <w:highlight w:val="none"/>
          <w:lang w:val="en-US" w:eastAsia="zh-CN" w:bidi="ar-SA"/>
        </w:rPr>
        <w:t>[5] TR</w:t>
      </w:r>
      <w:bookmarkEnd w:id="3"/>
      <w:r>
        <w:rPr>
          <w:rFonts w:hint="eastAsia" w:ascii="Times New Roman" w:hAnsi="Times New Roman" w:eastAsia="宋体" w:cs="Times New Roman"/>
          <w:b w:val="0"/>
          <w:i w:val="0"/>
          <w:sz w:val="20"/>
          <w:szCs w:val="22"/>
          <w:highlight w:val="none"/>
          <w:lang w:val="en-US" w:eastAsia="zh-CN" w:bidi="ar-SA"/>
        </w:rPr>
        <w:t xml:space="preserve"> </w:t>
      </w:r>
      <w:bookmarkStart w:id="4" w:name="specNumber"/>
      <w:r>
        <w:rPr>
          <w:rFonts w:hint="eastAsia" w:ascii="Times New Roman" w:hAnsi="Times New Roman" w:eastAsia="宋体" w:cs="Times New Roman"/>
          <w:b w:val="0"/>
          <w:i w:val="0"/>
          <w:sz w:val="20"/>
          <w:szCs w:val="22"/>
          <w:highlight w:val="none"/>
          <w:lang w:val="en-US" w:eastAsia="zh-CN" w:bidi="ar-SA"/>
        </w:rPr>
        <w:t>38.837</w:t>
      </w:r>
      <w:bookmarkEnd w:id="4"/>
      <w:r>
        <w:rPr>
          <w:rFonts w:hint="eastAsia" w:ascii="Times New Roman" w:hAnsi="Times New Roman" w:eastAsia="宋体" w:cs="Times New Roman"/>
          <w:b w:val="0"/>
          <w:i w:val="0"/>
          <w:sz w:val="20"/>
          <w:szCs w:val="22"/>
          <w:highlight w:val="none"/>
          <w:lang w:val="en-US" w:eastAsia="zh-CN" w:bidi="ar-SA"/>
        </w:rPr>
        <w:t>, UE RF requirements for Transparent Tx Diversity (TxD), v0.2.0</w:t>
      </w:r>
    </w:p>
    <w:p>
      <w:pPr>
        <w:keepNext/>
        <w:keepLines/>
        <w:pageBreakBefore w:val="0"/>
        <w:widowControl w:val="0"/>
        <w:numPr>
          <w:ilvl w:val="0"/>
          <w:numId w:val="0"/>
        </w:numPr>
        <w:kinsoku/>
        <w:wordWrap/>
        <w:topLinePunct w:val="0"/>
        <w:bidi w:val="0"/>
        <w:spacing w:before="0"/>
        <w:ind w:left="0" w:firstLine="0"/>
        <w:jc w:val="left"/>
        <w:rPr>
          <w:rFonts w:hint="default" w:ascii="Times New Roman" w:hAnsi="Times New Roman" w:eastAsia="宋体" w:cs="Times New Roman"/>
          <w:b w:val="0"/>
          <w:i w:val="0"/>
          <w:sz w:val="20"/>
          <w:szCs w:val="22"/>
          <w:highlight w:val="none"/>
          <w:lang w:val="en-US" w:eastAsia="zh-CN" w:bidi="ar-SA"/>
        </w:rPr>
      </w:pPr>
      <w:r>
        <w:rPr>
          <w:rFonts w:hint="eastAsia" w:ascii="Times New Roman" w:hAnsi="Times New Roman" w:eastAsia="宋体" w:cs="Times New Roman"/>
          <w:b w:val="0"/>
          <w:i w:val="0"/>
          <w:sz w:val="20"/>
          <w:szCs w:val="22"/>
          <w:highlight w:val="none"/>
          <w:lang w:val="en-US" w:eastAsia="zh-CN" w:bidi="ar-SA"/>
        </w:rPr>
        <w:t>[</w:t>
      </w:r>
      <w:r>
        <w:rPr>
          <w:rFonts w:hint="eastAsia" w:eastAsia="宋体" w:cs="Times New Roman"/>
          <w:b w:val="0"/>
          <w:i w:val="0"/>
          <w:sz w:val="20"/>
          <w:szCs w:val="22"/>
          <w:highlight w:val="none"/>
          <w:lang w:val="en-US" w:eastAsia="zh-CN" w:bidi="ar-SA"/>
        </w:rPr>
        <w:t>6</w:t>
      </w:r>
      <w:r>
        <w:rPr>
          <w:rFonts w:hint="eastAsia" w:ascii="Times New Roman" w:hAnsi="Times New Roman" w:eastAsia="宋体" w:cs="Times New Roman"/>
          <w:b w:val="0"/>
          <w:i w:val="0"/>
          <w:sz w:val="20"/>
          <w:szCs w:val="22"/>
          <w:highlight w:val="none"/>
          <w:lang w:val="en-US" w:eastAsia="zh-CN" w:bidi="ar-SA"/>
        </w:rPr>
        <w:t xml:space="preserve">] R2-2108538, </w:t>
      </w:r>
      <w:r>
        <w:rPr>
          <w:rFonts w:hint="eastAsia" w:ascii="Times New Roman" w:hAnsi="Times New Roman" w:eastAsia="宋体" w:cs="Times New Roman"/>
          <w:b w:val="0"/>
          <w:i w:val="0"/>
          <w:sz w:val="20"/>
          <w:szCs w:val="22"/>
          <w:highlight w:val="none"/>
          <w:lang w:val="en-US" w:eastAsia="zh-CN" w:bidi="ar-SA"/>
        </w:rPr>
        <w:fldChar w:fldCharType="begin"/>
      </w:r>
      <w:r>
        <w:rPr>
          <w:rFonts w:hint="eastAsia" w:ascii="Times New Roman" w:hAnsi="Times New Roman" w:eastAsia="宋体" w:cs="Times New Roman"/>
          <w:b w:val="0"/>
          <w:i w:val="0"/>
          <w:sz w:val="20"/>
          <w:szCs w:val="22"/>
          <w:highlight w:val="none"/>
          <w:lang w:val="en-US" w:eastAsia="zh-CN" w:bidi="ar-SA"/>
        </w:rPr>
        <w:instrText xml:space="preserve"> DOCPROPERTY  CrTitle  \* MERGEFORMAT </w:instrText>
      </w:r>
      <w:r>
        <w:rPr>
          <w:rFonts w:hint="eastAsia" w:ascii="Times New Roman" w:hAnsi="Times New Roman" w:eastAsia="宋体" w:cs="Times New Roman"/>
          <w:b w:val="0"/>
          <w:i w:val="0"/>
          <w:sz w:val="20"/>
          <w:szCs w:val="22"/>
          <w:highlight w:val="none"/>
          <w:lang w:val="en-US" w:eastAsia="zh-CN" w:bidi="ar-SA"/>
        </w:rPr>
        <w:fldChar w:fldCharType="separate"/>
      </w:r>
      <w:r>
        <w:rPr>
          <w:rFonts w:hint="eastAsia" w:ascii="Times New Roman" w:hAnsi="Times New Roman" w:eastAsia="宋体" w:cs="Times New Roman"/>
          <w:b w:val="0"/>
          <w:i w:val="0"/>
          <w:sz w:val="20"/>
          <w:szCs w:val="22"/>
          <w:highlight w:val="none"/>
          <w:lang w:val="en-US" w:eastAsia="zh-CN" w:bidi="ar-SA"/>
        </w:rPr>
        <w:t>CR on 38.306 for introducing UE capability of txDiversity</w:t>
      </w:r>
      <w:r>
        <w:rPr>
          <w:rFonts w:hint="eastAsia" w:ascii="Times New Roman" w:hAnsi="Times New Roman" w:eastAsia="宋体" w:cs="Times New Roman"/>
          <w:b w:val="0"/>
          <w:i w:val="0"/>
          <w:sz w:val="20"/>
          <w:szCs w:val="22"/>
          <w:highlight w:val="none"/>
          <w:lang w:val="en-US" w:eastAsia="zh-CN" w:bidi="ar-SA"/>
        </w:rPr>
        <w:fldChar w:fldCharType="end"/>
      </w:r>
      <w:r>
        <w:rPr>
          <w:rFonts w:hint="eastAsia" w:ascii="Times New Roman" w:hAnsi="Times New Roman" w:eastAsia="宋体" w:cs="Times New Roman"/>
          <w:b w:val="0"/>
          <w:i w:val="0"/>
          <w:sz w:val="20"/>
          <w:szCs w:val="22"/>
          <w:highlight w:val="none"/>
          <w:lang w:val="en-US" w:eastAsia="zh-CN" w:bidi="ar-SA"/>
        </w:rPr>
        <w:t>, CMCC, etc.</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2340C"/>
    <w:multiLevelType w:val="multilevel"/>
    <w:tmpl w:val="A9E2340C"/>
    <w:lvl w:ilvl="0" w:tentative="0">
      <w:start w:val="1"/>
      <w:numFmt w:val="bullet"/>
      <w:lvlText w:val=""/>
      <w:lvlJc w:val="left"/>
      <w:pPr>
        <w:ind w:left="420" w:leftChars="0" w:hanging="420" w:firstLineChars="0"/>
      </w:pPr>
      <w:rPr>
        <w:rFonts w:hint="default" w:ascii="Wingdings" w:hAnsi="Wingdings" w:cs="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BDDE881"/>
    <w:multiLevelType w:val="singleLevel"/>
    <w:tmpl w:val="2BDDE881"/>
    <w:lvl w:ilvl="0" w:tentative="0">
      <w:start w:val="1"/>
      <w:numFmt w:val="bullet"/>
      <w:lvlText w:val=""/>
      <w:lvlJc w:val="left"/>
      <w:pPr>
        <w:ind w:left="420" w:leftChars="0" w:hanging="420" w:firstLineChars="0"/>
      </w:pPr>
      <w:rPr>
        <w:rFonts w:hint="default" w:ascii="Wingdings" w:hAnsi="Wingdings" w:cs="Wingdings"/>
      </w:rPr>
    </w:lvl>
  </w:abstractNum>
  <w:abstractNum w:abstractNumId="8">
    <w:nsid w:val="2FB90F35"/>
    <w:multiLevelType w:val="multilevel"/>
    <w:tmpl w:val="2FB90F35"/>
    <w:lvl w:ilvl="0" w:tentative="0">
      <w:start w:val="1"/>
      <w:numFmt w:val="bullet"/>
      <w:lvlText w:val="•"/>
      <w:lvlJc w:val="left"/>
      <w:pPr>
        <w:tabs>
          <w:tab w:val="left" w:pos="720"/>
        </w:tabs>
        <w:ind w:left="720" w:hanging="360"/>
      </w:pPr>
      <w:rPr>
        <w:rFonts w:hint="default" w:ascii="Arial" w:hAnsi="Arial"/>
      </w:rPr>
    </w:lvl>
    <w:lvl w:ilvl="1" w:tentative="0">
      <w:start w:val="0"/>
      <w:numFmt w:val="none"/>
      <w:lvlText w:val=""/>
      <w:lvlJc w:val="left"/>
      <w:pPr>
        <w:tabs>
          <w:tab w:val="left" w:pos="360"/>
        </w:tabs>
      </w:p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41075A6C"/>
    <w:multiLevelType w:val="multilevel"/>
    <w:tmpl w:val="41075A6C"/>
    <w:lvl w:ilvl="0" w:tentative="0">
      <w:start w:val="1"/>
      <w:numFmt w:val="decimal"/>
      <w:lvlText w:val="%1)"/>
      <w:lvlJc w:val="left"/>
      <w:pPr>
        <w:ind w:left="644"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52280561"/>
    <w:multiLevelType w:val="multilevel"/>
    <w:tmpl w:val="52280561"/>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4"/>
  </w:num>
  <w:num w:numId="2">
    <w:abstractNumId w:val="5"/>
  </w:num>
  <w:num w:numId="3">
    <w:abstractNumId w:val="3"/>
  </w:num>
  <w:num w:numId="4">
    <w:abstractNumId w:val="2"/>
  </w:num>
  <w:num w:numId="5">
    <w:abstractNumId w:val="1"/>
  </w:num>
  <w:num w:numId="6">
    <w:abstractNumId w:val="13"/>
  </w:num>
  <w:num w:numId="7">
    <w:abstractNumId w:val="15"/>
  </w:num>
  <w:num w:numId="8">
    <w:abstractNumId w:val="17"/>
  </w:num>
  <w:num w:numId="9">
    <w:abstractNumId w:val="10"/>
  </w:num>
  <w:num w:numId="10">
    <w:abstractNumId w:val="11"/>
  </w:num>
  <w:num w:numId="11">
    <w:abstractNumId w:val="6"/>
  </w:num>
  <w:num w:numId="12">
    <w:abstractNumId w:val="16"/>
  </w:num>
  <w:num w:numId="13">
    <w:abstractNumId w:val="4"/>
  </w:num>
  <w:num w:numId="14">
    <w:abstractNumId w:val="9"/>
  </w:num>
  <w:num w:numId="15">
    <w:abstractNumId w:val="12"/>
  </w:num>
  <w:num w:numId="16">
    <w:abstractNumId w:val="8"/>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3C5"/>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107"/>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5E58"/>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37BF6"/>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003FD"/>
    <w:rsid w:val="01D63E85"/>
    <w:rsid w:val="01DC352B"/>
    <w:rsid w:val="01E06988"/>
    <w:rsid w:val="01E966C2"/>
    <w:rsid w:val="01ED283C"/>
    <w:rsid w:val="01F04F42"/>
    <w:rsid w:val="01F077B9"/>
    <w:rsid w:val="01F61B27"/>
    <w:rsid w:val="01FB375F"/>
    <w:rsid w:val="01FB73D0"/>
    <w:rsid w:val="01FC180E"/>
    <w:rsid w:val="02002514"/>
    <w:rsid w:val="02093AA7"/>
    <w:rsid w:val="02096EC3"/>
    <w:rsid w:val="020E4504"/>
    <w:rsid w:val="021A414E"/>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0C57"/>
    <w:rsid w:val="026B2AD2"/>
    <w:rsid w:val="02750052"/>
    <w:rsid w:val="027837DE"/>
    <w:rsid w:val="02786828"/>
    <w:rsid w:val="027C24F6"/>
    <w:rsid w:val="028575FB"/>
    <w:rsid w:val="028909D6"/>
    <w:rsid w:val="029303AE"/>
    <w:rsid w:val="02941161"/>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EF3B0B"/>
    <w:rsid w:val="02FD685C"/>
    <w:rsid w:val="02FE1264"/>
    <w:rsid w:val="03056F8E"/>
    <w:rsid w:val="030736A8"/>
    <w:rsid w:val="030F5E0C"/>
    <w:rsid w:val="03133069"/>
    <w:rsid w:val="03176F63"/>
    <w:rsid w:val="0318176C"/>
    <w:rsid w:val="03187EF2"/>
    <w:rsid w:val="031C7AD1"/>
    <w:rsid w:val="031E00BE"/>
    <w:rsid w:val="03224907"/>
    <w:rsid w:val="032330E8"/>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32D83"/>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D3986"/>
    <w:rsid w:val="03AE03ED"/>
    <w:rsid w:val="03B37155"/>
    <w:rsid w:val="03B41943"/>
    <w:rsid w:val="03B42918"/>
    <w:rsid w:val="03B70660"/>
    <w:rsid w:val="03B768EE"/>
    <w:rsid w:val="03BC14CC"/>
    <w:rsid w:val="03BE4466"/>
    <w:rsid w:val="03C36A9F"/>
    <w:rsid w:val="03C43BA5"/>
    <w:rsid w:val="03C73BC2"/>
    <w:rsid w:val="03C975D1"/>
    <w:rsid w:val="03CA77F6"/>
    <w:rsid w:val="03CC20AE"/>
    <w:rsid w:val="03D172A0"/>
    <w:rsid w:val="03D37304"/>
    <w:rsid w:val="03D443A4"/>
    <w:rsid w:val="03D50398"/>
    <w:rsid w:val="03D56517"/>
    <w:rsid w:val="03DD1F73"/>
    <w:rsid w:val="03E0353C"/>
    <w:rsid w:val="03E23027"/>
    <w:rsid w:val="03E311A7"/>
    <w:rsid w:val="03E43C7E"/>
    <w:rsid w:val="03EA2C5B"/>
    <w:rsid w:val="03EA5C1E"/>
    <w:rsid w:val="03F00DB3"/>
    <w:rsid w:val="03F21BC9"/>
    <w:rsid w:val="03F42BA3"/>
    <w:rsid w:val="03F71248"/>
    <w:rsid w:val="03FC6EFD"/>
    <w:rsid w:val="040040AF"/>
    <w:rsid w:val="040639BD"/>
    <w:rsid w:val="04093503"/>
    <w:rsid w:val="040F1C5F"/>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31088"/>
    <w:rsid w:val="046670DE"/>
    <w:rsid w:val="0467131C"/>
    <w:rsid w:val="046A35A2"/>
    <w:rsid w:val="04740CAB"/>
    <w:rsid w:val="04787390"/>
    <w:rsid w:val="047C7418"/>
    <w:rsid w:val="047F211F"/>
    <w:rsid w:val="048A047E"/>
    <w:rsid w:val="04921B49"/>
    <w:rsid w:val="049377A7"/>
    <w:rsid w:val="04970C3A"/>
    <w:rsid w:val="04AD5427"/>
    <w:rsid w:val="04B31C9E"/>
    <w:rsid w:val="04B773EC"/>
    <w:rsid w:val="04CE5DAA"/>
    <w:rsid w:val="04D06A94"/>
    <w:rsid w:val="04D822DA"/>
    <w:rsid w:val="04E251E1"/>
    <w:rsid w:val="04E5192B"/>
    <w:rsid w:val="04E55A04"/>
    <w:rsid w:val="04E951BC"/>
    <w:rsid w:val="04EB6DB7"/>
    <w:rsid w:val="04EF6224"/>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735BD"/>
    <w:rsid w:val="055E1C97"/>
    <w:rsid w:val="05606CBA"/>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526A9"/>
    <w:rsid w:val="05957FD9"/>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80EFD"/>
    <w:rsid w:val="05EB2D88"/>
    <w:rsid w:val="05EC269B"/>
    <w:rsid w:val="05EF56D2"/>
    <w:rsid w:val="05F06E9B"/>
    <w:rsid w:val="05F155CD"/>
    <w:rsid w:val="05FD076E"/>
    <w:rsid w:val="060C3AE5"/>
    <w:rsid w:val="061013EC"/>
    <w:rsid w:val="061029F7"/>
    <w:rsid w:val="061B2115"/>
    <w:rsid w:val="061B7605"/>
    <w:rsid w:val="061C5618"/>
    <w:rsid w:val="061F29AE"/>
    <w:rsid w:val="06237041"/>
    <w:rsid w:val="062C2331"/>
    <w:rsid w:val="062C3572"/>
    <w:rsid w:val="064002FE"/>
    <w:rsid w:val="064057DF"/>
    <w:rsid w:val="0644422D"/>
    <w:rsid w:val="064A16B3"/>
    <w:rsid w:val="064B73E6"/>
    <w:rsid w:val="065A0806"/>
    <w:rsid w:val="065A68BA"/>
    <w:rsid w:val="067A3500"/>
    <w:rsid w:val="067E5FFF"/>
    <w:rsid w:val="06874DE6"/>
    <w:rsid w:val="068B32C2"/>
    <w:rsid w:val="068B6B45"/>
    <w:rsid w:val="069561E9"/>
    <w:rsid w:val="069A1A61"/>
    <w:rsid w:val="069B6E98"/>
    <w:rsid w:val="069C44CD"/>
    <w:rsid w:val="06AB1DFD"/>
    <w:rsid w:val="06AB26A7"/>
    <w:rsid w:val="06B74133"/>
    <w:rsid w:val="06B74FFD"/>
    <w:rsid w:val="06C31A1F"/>
    <w:rsid w:val="06C37130"/>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86731"/>
    <w:rsid w:val="07392E0B"/>
    <w:rsid w:val="073B0379"/>
    <w:rsid w:val="073F1FDF"/>
    <w:rsid w:val="07447DDE"/>
    <w:rsid w:val="0750229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B3603"/>
    <w:rsid w:val="078D38BB"/>
    <w:rsid w:val="07954213"/>
    <w:rsid w:val="07984F47"/>
    <w:rsid w:val="079A211D"/>
    <w:rsid w:val="07AF6186"/>
    <w:rsid w:val="07B342C4"/>
    <w:rsid w:val="07BA518C"/>
    <w:rsid w:val="07BE6760"/>
    <w:rsid w:val="07CD7D23"/>
    <w:rsid w:val="07D101F5"/>
    <w:rsid w:val="07D52794"/>
    <w:rsid w:val="07D81217"/>
    <w:rsid w:val="07D87F92"/>
    <w:rsid w:val="07D911EC"/>
    <w:rsid w:val="07DF0451"/>
    <w:rsid w:val="07E0102A"/>
    <w:rsid w:val="07E872CB"/>
    <w:rsid w:val="07EB6A03"/>
    <w:rsid w:val="07F20F15"/>
    <w:rsid w:val="07F36CDA"/>
    <w:rsid w:val="07F4148B"/>
    <w:rsid w:val="07F52B60"/>
    <w:rsid w:val="07F60F40"/>
    <w:rsid w:val="07F92122"/>
    <w:rsid w:val="07F95C38"/>
    <w:rsid w:val="07FA6D1A"/>
    <w:rsid w:val="07FB67AC"/>
    <w:rsid w:val="07FF32B3"/>
    <w:rsid w:val="08015D0A"/>
    <w:rsid w:val="080E2AA4"/>
    <w:rsid w:val="081100F4"/>
    <w:rsid w:val="08110C5B"/>
    <w:rsid w:val="08111A4B"/>
    <w:rsid w:val="08143C91"/>
    <w:rsid w:val="081B7D63"/>
    <w:rsid w:val="082020BF"/>
    <w:rsid w:val="0822199E"/>
    <w:rsid w:val="08224CF9"/>
    <w:rsid w:val="0823400F"/>
    <w:rsid w:val="082A7780"/>
    <w:rsid w:val="082E0BC1"/>
    <w:rsid w:val="083076F8"/>
    <w:rsid w:val="08317822"/>
    <w:rsid w:val="083652D4"/>
    <w:rsid w:val="08366326"/>
    <w:rsid w:val="083724A7"/>
    <w:rsid w:val="083A27A2"/>
    <w:rsid w:val="083B03AC"/>
    <w:rsid w:val="083F721C"/>
    <w:rsid w:val="08443734"/>
    <w:rsid w:val="084A2654"/>
    <w:rsid w:val="084C6685"/>
    <w:rsid w:val="085053EE"/>
    <w:rsid w:val="085054DE"/>
    <w:rsid w:val="08564C85"/>
    <w:rsid w:val="08587EB3"/>
    <w:rsid w:val="085B1D09"/>
    <w:rsid w:val="086015DD"/>
    <w:rsid w:val="08670351"/>
    <w:rsid w:val="086D1825"/>
    <w:rsid w:val="08713A8E"/>
    <w:rsid w:val="08753574"/>
    <w:rsid w:val="08755E59"/>
    <w:rsid w:val="08760D65"/>
    <w:rsid w:val="08786CAE"/>
    <w:rsid w:val="087D07B1"/>
    <w:rsid w:val="088B0F15"/>
    <w:rsid w:val="088B2800"/>
    <w:rsid w:val="088D3DB3"/>
    <w:rsid w:val="089248A3"/>
    <w:rsid w:val="08A14169"/>
    <w:rsid w:val="08AB7ED7"/>
    <w:rsid w:val="08AF3AE8"/>
    <w:rsid w:val="08B32027"/>
    <w:rsid w:val="08BB173B"/>
    <w:rsid w:val="08C106DF"/>
    <w:rsid w:val="08CD72D1"/>
    <w:rsid w:val="08CE2A40"/>
    <w:rsid w:val="08D0181B"/>
    <w:rsid w:val="08D14D69"/>
    <w:rsid w:val="08D22336"/>
    <w:rsid w:val="08D52400"/>
    <w:rsid w:val="08DC5892"/>
    <w:rsid w:val="08E16EEF"/>
    <w:rsid w:val="08ED1042"/>
    <w:rsid w:val="08EE5E63"/>
    <w:rsid w:val="08F44262"/>
    <w:rsid w:val="08F80051"/>
    <w:rsid w:val="08FD4CAD"/>
    <w:rsid w:val="08FF75F2"/>
    <w:rsid w:val="09014876"/>
    <w:rsid w:val="09036996"/>
    <w:rsid w:val="0906231D"/>
    <w:rsid w:val="090921AF"/>
    <w:rsid w:val="090F07A1"/>
    <w:rsid w:val="09105B11"/>
    <w:rsid w:val="09130B62"/>
    <w:rsid w:val="09135978"/>
    <w:rsid w:val="091744D0"/>
    <w:rsid w:val="09181B7C"/>
    <w:rsid w:val="091F6975"/>
    <w:rsid w:val="09204DFE"/>
    <w:rsid w:val="09212774"/>
    <w:rsid w:val="092760A2"/>
    <w:rsid w:val="092843F0"/>
    <w:rsid w:val="092B6077"/>
    <w:rsid w:val="092D2151"/>
    <w:rsid w:val="092D6FEC"/>
    <w:rsid w:val="092F0069"/>
    <w:rsid w:val="092F4A13"/>
    <w:rsid w:val="09310D62"/>
    <w:rsid w:val="09322686"/>
    <w:rsid w:val="093F1597"/>
    <w:rsid w:val="09441620"/>
    <w:rsid w:val="09441EEA"/>
    <w:rsid w:val="09556E1F"/>
    <w:rsid w:val="09595A8E"/>
    <w:rsid w:val="095A3ACC"/>
    <w:rsid w:val="095C31CB"/>
    <w:rsid w:val="09635095"/>
    <w:rsid w:val="09642503"/>
    <w:rsid w:val="096B63AD"/>
    <w:rsid w:val="09723CCC"/>
    <w:rsid w:val="09734468"/>
    <w:rsid w:val="097431C6"/>
    <w:rsid w:val="098A3F5C"/>
    <w:rsid w:val="098D6520"/>
    <w:rsid w:val="0995101E"/>
    <w:rsid w:val="0997788D"/>
    <w:rsid w:val="0999679D"/>
    <w:rsid w:val="099B0B00"/>
    <w:rsid w:val="099B6FCD"/>
    <w:rsid w:val="09A27ADB"/>
    <w:rsid w:val="09A86C79"/>
    <w:rsid w:val="09AB5269"/>
    <w:rsid w:val="09B50809"/>
    <w:rsid w:val="09B973BD"/>
    <w:rsid w:val="09BB12F9"/>
    <w:rsid w:val="09C41336"/>
    <w:rsid w:val="09C57A4C"/>
    <w:rsid w:val="09C60820"/>
    <w:rsid w:val="09C9420F"/>
    <w:rsid w:val="09D016B0"/>
    <w:rsid w:val="09D41824"/>
    <w:rsid w:val="09DA09DB"/>
    <w:rsid w:val="09E37F8B"/>
    <w:rsid w:val="09E73CAA"/>
    <w:rsid w:val="09EE2C30"/>
    <w:rsid w:val="09F01BDC"/>
    <w:rsid w:val="09F04614"/>
    <w:rsid w:val="09F05FD9"/>
    <w:rsid w:val="09F33463"/>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66B57"/>
    <w:rsid w:val="0A2A6909"/>
    <w:rsid w:val="0A37750E"/>
    <w:rsid w:val="0A411659"/>
    <w:rsid w:val="0A4366FB"/>
    <w:rsid w:val="0A4771B7"/>
    <w:rsid w:val="0A4A59C9"/>
    <w:rsid w:val="0A5457B3"/>
    <w:rsid w:val="0A561020"/>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75683"/>
    <w:rsid w:val="0ABB622B"/>
    <w:rsid w:val="0ABD2945"/>
    <w:rsid w:val="0ABD5EB4"/>
    <w:rsid w:val="0ABE659D"/>
    <w:rsid w:val="0ABF214E"/>
    <w:rsid w:val="0AC11D6C"/>
    <w:rsid w:val="0AC4272A"/>
    <w:rsid w:val="0AC51A47"/>
    <w:rsid w:val="0AC93231"/>
    <w:rsid w:val="0ACD6030"/>
    <w:rsid w:val="0AD27E7D"/>
    <w:rsid w:val="0AD7243D"/>
    <w:rsid w:val="0AD73ACA"/>
    <w:rsid w:val="0AD829A8"/>
    <w:rsid w:val="0ADC5D23"/>
    <w:rsid w:val="0AE23DA6"/>
    <w:rsid w:val="0AEA7232"/>
    <w:rsid w:val="0AF44695"/>
    <w:rsid w:val="0AFA0822"/>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384E9D"/>
    <w:rsid w:val="0B3C59E0"/>
    <w:rsid w:val="0B4C731A"/>
    <w:rsid w:val="0B5002DF"/>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6430E"/>
    <w:rsid w:val="0C0E4E46"/>
    <w:rsid w:val="0C131F97"/>
    <w:rsid w:val="0C152FD0"/>
    <w:rsid w:val="0C1A2934"/>
    <w:rsid w:val="0C20567B"/>
    <w:rsid w:val="0C392883"/>
    <w:rsid w:val="0C405D6F"/>
    <w:rsid w:val="0C43314A"/>
    <w:rsid w:val="0C4366BF"/>
    <w:rsid w:val="0C4A25E6"/>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A40CE"/>
    <w:rsid w:val="0D8B1980"/>
    <w:rsid w:val="0D8B481D"/>
    <w:rsid w:val="0D9C36BD"/>
    <w:rsid w:val="0D9C6CA1"/>
    <w:rsid w:val="0D9D493D"/>
    <w:rsid w:val="0DA25C8E"/>
    <w:rsid w:val="0DAD1AC0"/>
    <w:rsid w:val="0DAF3CAF"/>
    <w:rsid w:val="0DBA2854"/>
    <w:rsid w:val="0DBB4D38"/>
    <w:rsid w:val="0DC92BE8"/>
    <w:rsid w:val="0DCB27E2"/>
    <w:rsid w:val="0DCE2610"/>
    <w:rsid w:val="0DD00B2F"/>
    <w:rsid w:val="0DD86351"/>
    <w:rsid w:val="0DE24973"/>
    <w:rsid w:val="0DE4532D"/>
    <w:rsid w:val="0DE95AE2"/>
    <w:rsid w:val="0DF04645"/>
    <w:rsid w:val="0DF15BF6"/>
    <w:rsid w:val="0DF27318"/>
    <w:rsid w:val="0DF30D49"/>
    <w:rsid w:val="0DF45D73"/>
    <w:rsid w:val="0DF54078"/>
    <w:rsid w:val="0DFB5A0B"/>
    <w:rsid w:val="0E041D2C"/>
    <w:rsid w:val="0E084950"/>
    <w:rsid w:val="0E094E90"/>
    <w:rsid w:val="0E121DB2"/>
    <w:rsid w:val="0E126018"/>
    <w:rsid w:val="0E1271E2"/>
    <w:rsid w:val="0E1B6AEF"/>
    <w:rsid w:val="0E1B7FF1"/>
    <w:rsid w:val="0E1C0D60"/>
    <w:rsid w:val="0E1C6C9C"/>
    <w:rsid w:val="0E1D4EB3"/>
    <w:rsid w:val="0E1D54BF"/>
    <w:rsid w:val="0E1E0AD2"/>
    <w:rsid w:val="0E1E23FC"/>
    <w:rsid w:val="0E205A69"/>
    <w:rsid w:val="0E207223"/>
    <w:rsid w:val="0E244A7F"/>
    <w:rsid w:val="0E273EB4"/>
    <w:rsid w:val="0E296F97"/>
    <w:rsid w:val="0E2E2266"/>
    <w:rsid w:val="0E3072A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A1E94"/>
    <w:rsid w:val="0E8E2DF0"/>
    <w:rsid w:val="0E8E5DF5"/>
    <w:rsid w:val="0E8F0596"/>
    <w:rsid w:val="0E987200"/>
    <w:rsid w:val="0E9C25AC"/>
    <w:rsid w:val="0EA63762"/>
    <w:rsid w:val="0EA870CD"/>
    <w:rsid w:val="0EAA5A15"/>
    <w:rsid w:val="0EAC56A2"/>
    <w:rsid w:val="0EBA588B"/>
    <w:rsid w:val="0EBC786E"/>
    <w:rsid w:val="0EC23ABC"/>
    <w:rsid w:val="0EC26502"/>
    <w:rsid w:val="0EC77975"/>
    <w:rsid w:val="0EDA3008"/>
    <w:rsid w:val="0EE7750F"/>
    <w:rsid w:val="0EEC1D1E"/>
    <w:rsid w:val="0EEE6E1F"/>
    <w:rsid w:val="0EF6572A"/>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6743E3"/>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11C04"/>
    <w:rsid w:val="0FB97CF0"/>
    <w:rsid w:val="0FBB32BC"/>
    <w:rsid w:val="0FC03CBD"/>
    <w:rsid w:val="0FC11DF0"/>
    <w:rsid w:val="0FC2646A"/>
    <w:rsid w:val="0FC3109E"/>
    <w:rsid w:val="0FC64E19"/>
    <w:rsid w:val="0FCE3957"/>
    <w:rsid w:val="0FD4584B"/>
    <w:rsid w:val="0FD46C98"/>
    <w:rsid w:val="0FD665B2"/>
    <w:rsid w:val="0FD72CB8"/>
    <w:rsid w:val="0FD90E77"/>
    <w:rsid w:val="0FDB72B0"/>
    <w:rsid w:val="0FDC1B77"/>
    <w:rsid w:val="0FE5349E"/>
    <w:rsid w:val="0FE847C8"/>
    <w:rsid w:val="0FEB5939"/>
    <w:rsid w:val="0FF04B4F"/>
    <w:rsid w:val="0FF32CF0"/>
    <w:rsid w:val="0FF91941"/>
    <w:rsid w:val="10022C36"/>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67409"/>
    <w:rsid w:val="10396F61"/>
    <w:rsid w:val="103B1315"/>
    <w:rsid w:val="104166B0"/>
    <w:rsid w:val="104436B8"/>
    <w:rsid w:val="104674A1"/>
    <w:rsid w:val="10495A84"/>
    <w:rsid w:val="105064E8"/>
    <w:rsid w:val="10542CF6"/>
    <w:rsid w:val="10635536"/>
    <w:rsid w:val="106A0A00"/>
    <w:rsid w:val="106B2E9E"/>
    <w:rsid w:val="106F48C4"/>
    <w:rsid w:val="107735CC"/>
    <w:rsid w:val="10783DC2"/>
    <w:rsid w:val="107C0521"/>
    <w:rsid w:val="10850295"/>
    <w:rsid w:val="108E4283"/>
    <w:rsid w:val="10987768"/>
    <w:rsid w:val="109B6262"/>
    <w:rsid w:val="10B96A3B"/>
    <w:rsid w:val="10CE07DA"/>
    <w:rsid w:val="10D3772D"/>
    <w:rsid w:val="10D40819"/>
    <w:rsid w:val="10D74E7C"/>
    <w:rsid w:val="10DF0A40"/>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0D6218"/>
    <w:rsid w:val="112103C5"/>
    <w:rsid w:val="1125568E"/>
    <w:rsid w:val="112655B4"/>
    <w:rsid w:val="11345A36"/>
    <w:rsid w:val="113656EC"/>
    <w:rsid w:val="113D35F7"/>
    <w:rsid w:val="113E229D"/>
    <w:rsid w:val="113E6EF7"/>
    <w:rsid w:val="113F1A85"/>
    <w:rsid w:val="11402B56"/>
    <w:rsid w:val="11417B00"/>
    <w:rsid w:val="11424EC5"/>
    <w:rsid w:val="114860E6"/>
    <w:rsid w:val="114C1683"/>
    <w:rsid w:val="11503D65"/>
    <w:rsid w:val="11507B3D"/>
    <w:rsid w:val="11523309"/>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40EE7"/>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1D62"/>
    <w:rsid w:val="122030A8"/>
    <w:rsid w:val="122605E2"/>
    <w:rsid w:val="12272617"/>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D07"/>
    <w:rsid w:val="12B76B54"/>
    <w:rsid w:val="12C20883"/>
    <w:rsid w:val="12CB538A"/>
    <w:rsid w:val="12CD1DC9"/>
    <w:rsid w:val="12D43973"/>
    <w:rsid w:val="12D62B58"/>
    <w:rsid w:val="12E27109"/>
    <w:rsid w:val="12E77AD7"/>
    <w:rsid w:val="12E94E33"/>
    <w:rsid w:val="12EA0359"/>
    <w:rsid w:val="12EA0BB7"/>
    <w:rsid w:val="12F36BE2"/>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377F8"/>
    <w:rsid w:val="13757BE9"/>
    <w:rsid w:val="137D1899"/>
    <w:rsid w:val="137D5093"/>
    <w:rsid w:val="137E369E"/>
    <w:rsid w:val="137E41AF"/>
    <w:rsid w:val="138164BF"/>
    <w:rsid w:val="13873F07"/>
    <w:rsid w:val="138C236B"/>
    <w:rsid w:val="13905FA2"/>
    <w:rsid w:val="139C4E65"/>
    <w:rsid w:val="139E263E"/>
    <w:rsid w:val="13A3399C"/>
    <w:rsid w:val="13A90D72"/>
    <w:rsid w:val="13AC5BEA"/>
    <w:rsid w:val="13B03731"/>
    <w:rsid w:val="13B2406D"/>
    <w:rsid w:val="13BC433D"/>
    <w:rsid w:val="13C805F2"/>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3FD2B17"/>
    <w:rsid w:val="14013DD6"/>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C3D86"/>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819F7"/>
    <w:rsid w:val="149965B3"/>
    <w:rsid w:val="149D4997"/>
    <w:rsid w:val="14A04F69"/>
    <w:rsid w:val="14A10588"/>
    <w:rsid w:val="14A11363"/>
    <w:rsid w:val="14A56052"/>
    <w:rsid w:val="14A862B6"/>
    <w:rsid w:val="14A87888"/>
    <w:rsid w:val="14AA6172"/>
    <w:rsid w:val="14AC283B"/>
    <w:rsid w:val="14AD07C0"/>
    <w:rsid w:val="14B071EA"/>
    <w:rsid w:val="14BD5CC4"/>
    <w:rsid w:val="14BE6F36"/>
    <w:rsid w:val="14C42409"/>
    <w:rsid w:val="14C510C3"/>
    <w:rsid w:val="14CC3E85"/>
    <w:rsid w:val="14E1264D"/>
    <w:rsid w:val="14E373E7"/>
    <w:rsid w:val="14E93B9B"/>
    <w:rsid w:val="14EC0CCF"/>
    <w:rsid w:val="14F00C3C"/>
    <w:rsid w:val="14F46C56"/>
    <w:rsid w:val="150427DD"/>
    <w:rsid w:val="150A68E8"/>
    <w:rsid w:val="150C4874"/>
    <w:rsid w:val="150E7A37"/>
    <w:rsid w:val="150F153E"/>
    <w:rsid w:val="15104556"/>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00DC"/>
    <w:rsid w:val="156B3683"/>
    <w:rsid w:val="156C1B0C"/>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CA7472"/>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8677A"/>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6682E"/>
    <w:rsid w:val="16880662"/>
    <w:rsid w:val="16907274"/>
    <w:rsid w:val="16A6051D"/>
    <w:rsid w:val="16A77043"/>
    <w:rsid w:val="16B1062A"/>
    <w:rsid w:val="16B80781"/>
    <w:rsid w:val="16B90F31"/>
    <w:rsid w:val="16C21340"/>
    <w:rsid w:val="16C47616"/>
    <w:rsid w:val="16C740C5"/>
    <w:rsid w:val="16C80034"/>
    <w:rsid w:val="16C92A63"/>
    <w:rsid w:val="16D001FE"/>
    <w:rsid w:val="16D30E56"/>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82CEE"/>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E010C"/>
    <w:rsid w:val="178F1BAC"/>
    <w:rsid w:val="17911DB7"/>
    <w:rsid w:val="17923711"/>
    <w:rsid w:val="17925F35"/>
    <w:rsid w:val="17987229"/>
    <w:rsid w:val="179A0708"/>
    <w:rsid w:val="179E28E1"/>
    <w:rsid w:val="17A022DB"/>
    <w:rsid w:val="17A2064E"/>
    <w:rsid w:val="17A340AB"/>
    <w:rsid w:val="17A34285"/>
    <w:rsid w:val="17A500B9"/>
    <w:rsid w:val="17A944D6"/>
    <w:rsid w:val="17AB1ED7"/>
    <w:rsid w:val="17AF493D"/>
    <w:rsid w:val="17B00BE9"/>
    <w:rsid w:val="17C11150"/>
    <w:rsid w:val="17C277F1"/>
    <w:rsid w:val="17C366FE"/>
    <w:rsid w:val="17C57C00"/>
    <w:rsid w:val="17C7648E"/>
    <w:rsid w:val="17CA5CF1"/>
    <w:rsid w:val="17CC0C2C"/>
    <w:rsid w:val="17D30760"/>
    <w:rsid w:val="17D35F4A"/>
    <w:rsid w:val="17D50B9F"/>
    <w:rsid w:val="17D6406B"/>
    <w:rsid w:val="17D677D5"/>
    <w:rsid w:val="17E141F7"/>
    <w:rsid w:val="17EA7BC8"/>
    <w:rsid w:val="17F04DB6"/>
    <w:rsid w:val="17F053BC"/>
    <w:rsid w:val="17FE3469"/>
    <w:rsid w:val="18043376"/>
    <w:rsid w:val="18055420"/>
    <w:rsid w:val="1808613F"/>
    <w:rsid w:val="181B363A"/>
    <w:rsid w:val="181E2D3F"/>
    <w:rsid w:val="18215BE4"/>
    <w:rsid w:val="18283117"/>
    <w:rsid w:val="18286BDD"/>
    <w:rsid w:val="18291855"/>
    <w:rsid w:val="182C3F2E"/>
    <w:rsid w:val="183030EC"/>
    <w:rsid w:val="18340990"/>
    <w:rsid w:val="183D1402"/>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8F6E8F"/>
    <w:rsid w:val="18966DD6"/>
    <w:rsid w:val="18983058"/>
    <w:rsid w:val="18984438"/>
    <w:rsid w:val="189858F5"/>
    <w:rsid w:val="18992DBA"/>
    <w:rsid w:val="18A0299D"/>
    <w:rsid w:val="18A45EAA"/>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CF285A"/>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46E"/>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0714F"/>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80804"/>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14F38"/>
    <w:rsid w:val="19F51FDF"/>
    <w:rsid w:val="19FC5D38"/>
    <w:rsid w:val="1A0342E9"/>
    <w:rsid w:val="1A05603E"/>
    <w:rsid w:val="1A05712E"/>
    <w:rsid w:val="1A081E7F"/>
    <w:rsid w:val="1A0D0FEB"/>
    <w:rsid w:val="1A10299C"/>
    <w:rsid w:val="1A164FA0"/>
    <w:rsid w:val="1A1E60F6"/>
    <w:rsid w:val="1A23285C"/>
    <w:rsid w:val="1A267DE8"/>
    <w:rsid w:val="1A2A4C26"/>
    <w:rsid w:val="1A326E19"/>
    <w:rsid w:val="1A377042"/>
    <w:rsid w:val="1A3E04D9"/>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17E77"/>
    <w:rsid w:val="1AC96E16"/>
    <w:rsid w:val="1ACF069E"/>
    <w:rsid w:val="1AD46242"/>
    <w:rsid w:val="1ADA542A"/>
    <w:rsid w:val="1ADB6AC4"/>
    <w:rsid w:val="1ADD2BCC"/>
    <w:rsid w:val="1AE16E0D"/>
    <w:rsid w:val="1AE30051"/>
    <w:rsid w:val="1AE36E86"/>
    <w:rsid w:val="1AE42429"/>
    <w:rsid w:val="1AEC66D4"/>
    <w:rsid w:val="1AEC7B71"/>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29B2"/>
    <w:rsid w:val="1B443E81"/>
    <w:rsid w:val="1B450F52"/>
    <w:rsid w:val="1B4609E6"/>
    <w:rsid w:val="1B464AEE"/>
    <w:rsid w:val="1B466DE6"/>
    <w:rsid w:val="1B4B64D9"/>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159A7"/>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BFF691A"/>
    <w:rsid w:val="1C026BE2"/>
    <w:rsid w:val="1C027BFF"/>
    <w:rsid w:val="1C045819"/>
    <w:rsid w:val="1C061D72"/>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669"/>
    <w:rsid w:val="1C5039DB"/>
    <w:rsid w:val="1C505A77"/>
    <w:rsid w:val="1C586C59"/>
    <w:rsid w:val="1C69538F"/>
    <w:rsid w:val="1C704DD8"/>
    <w:rsid w:val="1C727B26"/>
    <w:rsid w:val="1C784DDC"/>
    <w:rsid w:val="1C8B6F58"/>
    <w:rsid w:val="1C8E320F"/>
    <w:rsid w:val="1C8F28A5"/>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47DAF"/>
    <w:rsid w:val="1CD51947"/>
    <w:rsid w:val="1CDD29AB"/>
    <w:rsid w:val="1CDD2C02"/>
    <w:rsid w:val="1CDF6E20"/>
    <w:rsid w:val="1CEC5835"/>
    <w:rsid w:val="1CF075BE"/>
    <w:rsid w:val="1CF13104"/>
    <w:rsid w:val="1CF67401"/>
    <w:rsid w:val="1CF84107"/>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32561"/>
    <w:rsid w:val="1DB833E3"/>
    <w:rsid w:val="1DB83E44"/>
    <w:rsid w:val="1DB85931"/>
    <w:rsid w:val="1DBC7B09"/>
    <w:rsid w:val="1DC57F56"/>
    <w:rsid w:val="1DC73840"/>
    <w:rsid w:val="1DCA3A7C"/>
    <w:rsid w:val="1DCB06D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72970"/>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1ABD"/>
    <w:rsid w:val="1F06621F"/>
    <w:rsid w:val="1F0D0F04"/>
    <w:rsid w:val="1F0E131F"/>
    <w:rsid w:val="1F0F2F71"/>
    <w:rsid w:val="1F101617"/>
    <w:rsid w:val="1F136E8C"/>
    <w:rsid w:val="1F1C6330"/>
    <w:rsid w:val="1F211816"/>
    <w:rsid w:val="1F237A64"/>
    <w:rsid w:val="1F291073"/>
    <w:rsid w:val="1F342778"/>
    <w:rsid w:val="1F364BA6"/>
    <w:rsid w:val="1F384946"/>
    <w:rsid w:val="1F3C4B92"/>
    <w:rsid w:val="1F3D11C6"/>
    <w:rsid w:val="1F3E16A1"/>
    <w:rsid w:val="1F3E62ED"/>
    <w:rsid w:val="1F4734A0"/>
    <w:rsid w:val="1F486AE0"/>
    <w:rsid w:val="1F5361FA"/>
    <w:rsid w:val="1F546E67"/>
    <w:rsid w:val="1F561C63"/>
    <w:rsid w:val="1F605F2C"/>
    <w:rsid w:val="1F615FBC"/>
    <w:rsid w:val="1F6419B8"/>
    <w:rsid w:val="1F667BD1"/>
    <w:rsid w:val="1F690696"/>
    <w:rsid w:val="1F6E1B08"/>
    <w:rsid w:val="1F765053"/>
    <w:rsid w:val="1F7708D9"/>
    <w:rsid w:val="1F7864CB"/>
    <w:rsid w:val="1F7D1E41"/>
    <w:rsid w:val="1F806D7E"/>
    <w:rsid w:val="1F845E1B"/>
    <w:rsid w:val="1F871D12"/>
    <w:rsid w:val="1F8F4EA8"/>
    <w:rsid w:val="1F9040A1"/>
    <w:rsid w:val="1F977357"/>
    <w:rsid w:val="1F992CC4"/>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1FFB2E79"/>
    <w:rsid w:val="1FFE2A20"/>
    <w:rsid w:val="20034697"/>
    <w:rsid w:val="200443EB"/>
    <w:rsid w:val="200543AC"/>
    <w:rsid w:val="200958C6"/>
    <w:rsid w:val="20096DC9"/>
    <w:rsid w:val="200C37FD"/>
    <w:rsid w:val="200D7333"/>
    <w:rsid w:val="20125BCF"/>
    <w:rsid w:val="20173670"/>
    <w:rsid w:val="201B7586"/>
    <w:rsid w:val="201C3CA2"/>
    <w:rsid w:val="201C3F37"/>
    <w:rsid w:val="201D36E6"/>
    <w:rsid w:val="201F1A41"/>
    <w:rsid w:val="20246D32"/>
    <w:rsid w:val="20267A1B"/>
    <w:rsid w:val="20287CCA"/>
    <w:rsid w:val="202F7842"/>
    <w:rsid w:val="203121C8"/>
    <w:rsid w:val="20360A34"/>
    <w:rsid w:val="203A7E0E"/>
    <w:rsid w:val="203B0890"/>
    <w:rsid w:val="203E1438"/>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C96363"/>
    <w:rsid w:val="20D45236"/>
    <w:rsid w:val="20D45CC6"/>
    <w:rsid w:val="20D47CF1"/>
    <w:rsid w:val="20D67A4F"/>
    <w:rsid w:val="20DF7183"/>
    <w:rsid w:val="20E043D8"/>
    <w:rsid w:val="20E7358F"/>
    <w:rsid w:val="20EB0A2A"/>
    <w:rsid w:val="20EB0E3A"/>
    <w:rsid w:val="20ED6469"/>
    <w:rsid w:val="20ED6BA4"/>
    <w:rsid w:val="20EE326C"/>
    <w:rsid w:val="20F23E6F"/>
    <w:rsid w:val="20F309B6"/>
    <w:rsid w:val="20F72E28"/>
    <w:rsid w:val="21010181"/>
    <w:rsid w:val="21013387"/>
    <w:rsid w:val="210B6618"/>
    <w:rsid w:val="211011D0"/>
    <w:rsid w:val="2116171A"/>
    <w:rsid w:val="211C31A4"/>
    <w:rsid w:val="211E0798"/>
    <w:rsid w:val="211F26B6"/>
    <w:rsid w:val="21206696"/>
    <w:rsid w:val="212129FF"/>
    <w:rsid w:val="21265A2D"/>
    <w:rsid w:val="212729A7"/>
    <w:rsid w:val="212A2ECF"/>
    <w:rsid w:val="212B3E0B"/>
    <w:rsid w:val="21300280"/>
    <w:rsid w:val="21300568"/>
    <w:rsid w:val="21346B77"/>
    <w:rsid w:val="213A482E"/>
    <w:rsid w:val="213F5F57"/>
    <w:rsid w:val="21400D45"/>
    <w:rsid w:val="21424B5D"/>
    <w:rsid w:val="21440D01"/>
    <w:rsid w:val="214D5367"/>
    <w:rsid w:val="214D5C25"/>
    <w:rsid w:val="214F78F2"/>
    <w:rsid w:val="21541887"/>
    <w:rsid w:val="21597E6E"/>
    <w:rsid w:val="215B37CA"/>
    <w:rsid w:val="215D104C"/>
    <w:rsid w:val="216707D5"/>
    <w:rsid w:val="216F0212"/>
    <w:rsid w:val="21700B44"/>
    <w:rsid w:val="217105A1"/>
    <w:rsid w:val="217B391A"/>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EA560E"/>
    <w:rsid w:val="21F172A8"/>
    <w:rsid w:val="21F27A8B"/>
    <w:rsid w:val="21F776C6"/>
    <w:rsid w:val="21F94D63"/>
    <w:rsid w:val="21FF133F"/>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33995"/>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A50BA"/>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6E7B19"/>
    <w:rsid w:val="237411B0"/>
    <w:rsid w:val="237437BD"/>
    <w:rsid w:val="237A037E"/>
    <w:rsid w:val="237D6FA4"/>
    <w:rsid w:val="237F78AF"/>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06824"/>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6361B"/>
    <w:rsid w:val="243766D1"/>
    <w:rsid w:val="24376E92"/>
    <w:rsid w:val="24382415"/>
    <w:rsid w:val="243E1494"/>
    <w:rsid w:val="24401ED3"/>
    <w:rsid w:val="24463F64"/>
    <w:rsid w:val="244662CD"/>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76B65"/>
    <w:rsid w:val="24993FEC"/>
    <w:rsid w:val="249B3300"/>
    <w:rsid w:val="249C77ED"/>
    <w:rsid w:val="24A10204"/>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253F5"/>
    <w:rsid w:val="24DA7AC3"/>
    <w:rsid w:val="24E30119"/>
    <w:rsid w:val="24EB7C74"/>
    <w:rsid w:val="24EC2B32"/>
    <w:rsid w:val="24EC4C92"/>
    <w:rsid w:val="24EE4DDC"/>
    <w:rsid w:val="24F20FCF"/>
    <w:rsid w:val="24FC77B8"/>
    <w:rsid w:val="24FD418E"/>
    <w:rsid w:val="250052D0"/>
    <w:rsid w:val="25020D7F"/>
    <w:rsid w:val="250C627A"/>
    <w:rsid w:val="250D152E"/>
    <w:rsid w:val="25151733"/>
    <w:rsid w:val="251554D8"/>
    <w:rsid w:val="25183DC1"/>
    <w:rsid w:val="251918D0"/>
    <w:rsid w:val="251F4CFE"/>
    <w:rsid w:val="25204465"/>
    <w:rsid w:val="252D4705"/>
    <w:rsid w:val="25350FCE"/>
    <w:rsid w:val="25364864"/>
    <w:rsid w:val="25367E51"/>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95AF0"/>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CB0703"/>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C7EAE"/>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355CC"/>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84117"/>
    <w:rsid w:val="271945C4"/>
    <w:rsid w:val="271D32C7"/>
    <w:rsid w:val="2721490A"/>
    <w:rsid w:val="272658FE"/>
    <w:rsid w:val="272B0B6C"/>
    <w:rsid w:val="272E143C"/>
    <w:rsid w:val="272F2EB6"/>
    <w:rsid w:val="272F5B33"/>
    <w:rsid w:val="27304E3B"/>
    <w:rsid w:val="273278B9"/>
    <w:rsid w:val="27347068"/>
    <w:rsid w:val="27352C28"/>
    <w:rsid w:val="274137B8"/>
    <w:rsid w:val="27436F3A"/>
    <w:rsid w:val="2744398E"/>
    <w:rsid w:val="27443C03"/>
    <w:rsid w:val="27453A80"/>
    <w:rsid w:val="27464C4E"/>
    <w:rsid w:val="274E24A7"/>
    <w:rsid w:val="27514698"/>
    <w:rsid w:val="275215DA"/>
    <w:rsid w:val="27576F26"/>
    <w:rsid w:val="275B33AF"/>
    <w:rsid w:val="275D229C"/>
    <w:rsid w:val="276061D1"/>
    <w:rsid w:val="27662EEA"/>
    <w:rsid w:val="27670DEF"/>
    <w:rsid w:val="276C4C7A"/>
    <w:rsid w:val="277342FE"/>
    <w:rsid w:val="2773577D"/>
    <w:rsid w:val="27777E23"/>
    <w:rsid w:val="277B02C6"/>
    <w:rsid w:val="277C0C0F"/>
    <w:rsid w:val="27821D9C"/>
    <w:rsid w:val="27860B41"/>
    <w:rsid w:val="278978D6"/>
    <w:rsid w:val="278E0A47"/>
    <w:rsid w:val="278E2D37"/>
    <w:rsid w:val="279121D8"/>
    <w:rsid w:val="2794232D"/>
    <w:rsid w:val="27A60643"/>
    <w:rsid w:val="27A9577A"/>
    <w:rsid w:val="27AE066C"/>
    <w:rsid w:val="27B40B8B"/>
    <w:rsid w:val="27BB7D18"/>
    <w:rsid w:val="27BF2614"/>
    <w:rsid w:val="27CC63B9"/>
    <w:rsid w:val="27D24B20"/>
    <w:rsid w:val="27DA480B"/>
    <w:rsid w:val="27E320C6"/>
    <w:rsid w:val="27E61965"/>
    <w:rsid w:val="27EB1C9B"/>
    <w:rsid w:val="27EE2436"/>
    <w:rsid w:val="27EE3EA1"/>
    <w:rsid w:val="27EF0764"/>
    <w:rsid w:val="27FC5EA0"/>
    <w:rsid w:val="27FE7297"/>
    <w:rsid w:val="280014D3"/>
    <w:rsid w:val="280665FC"/>
    <w:rsid w:val="28087D88"/>
    <w:rsid w:val="2809779E"/>
    <w:rsid w:val="280A63DC"/>
    <w:rsid w:val="280D08C6"/>
    <w:rsid w:val="281031F7"/>
    <w:rsid w:val="28106855"/>
    <w:rsid w:val="28111B48"/>
    <w:rsid w:val="28174A4A"/>
    <w:rsid w:val="28191351"/>
    <w:rsid w:val="28207745"/>
    <w:rsid w:val="28216FFD"/>
    <w:rsid w:val="282E2A0D"/>
    <w:rsid w:val="282E3661"/>
    <w:rsid w:val="28321845"/>
    <w:rsid w:val="2835795E"/>
    <w:rsid w:val="28385462"/>
    <w:rsid w:val="283B7435"/>
    <w:rsid w:val="284E129F"/>
    <w:rsid w:val="284E315B"/>
    <w:rsid w:val="28501F7A"/>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F3FAC"/>
    <w:rsid w:val="288F478B"/>
    <w:rsid w:val="289105F9"/>
    <w:rsid w:val="28962513"/>
    <w:rsid w:val="28966ED1"/>
    <w:rsid w:val="28996F69"/>
    <w:rsid w:val="289F7243"/>
    <w:rsid w:val="28A1621D"/>
    <w:rsid w:val="28A475CD"/>
    <w:rsid w:val="28A51B02"/>
    <w:rsid w:val="28B14F00"/>
    <w:rsid w:val="28B163F2"/>
    <w:rsid w:val="28B4017A"/>
    <w:rsid w:val="28B51E6D"/>
    <w:rsid w:val="28BA39DC"/>
    <w:rsid w:val="28BD05DE"/>
    <w:rsid w:val="28BE331A"/>
    <w:rsid w:val="28BE5920"/>
    <w:rsid w:val="28C15B72"/>
    <w:rsid w:val="28C52BB3"/>
    <w:rsid w:val="28C963CC"/>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111C1"/>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A164D"/>
    <w:rsid w:val="298C1A5A"/>
    <w:rsid w:val="298C5D0B"/>
    <w:rsid w:val="298D6AFF"/>
    <w:rsid w:val="29967DE1"/>
    <w:rsid w:val="299B7D69"/>
    <w:rsid w:val="29A703FA"/>
    <w:rsid w:val="29B1741C"/>
    <w:rsid w:val="29B45E90"/>
    <w:rsid w:val="29B51F90"/>
    <w:rsid w:val="29B97D41"/>
    <w:rsid w:val="29BA06AB"/>
    <w:rsid w:val="29BA4461"/>
    <w:rsid w:val="29BB2E5B"/>
    <w:rsid w:val="29BE20C4"/>
    <w:rsid w:val="29BE3D08"/>
    <w:rsid w:val="29C165F7"/>
    <w:rsid w:val="29C3661E"/>
    <w:rsid w:val="29C634F7"/>
    <w:rsid w:val="29CA31D9"/>
    <w:rsid w:val="29CA655B"/>
    <w:rsid w:val="29CA67BF"/>
    <w:rsid w:val="29CD3454"/>
    <w:rsid w:val="29CD57D5"/>
    <w:rsid w:val="29D03C8C"/>
    <w:rsid w:val="29D229FC"/>
    <w:rsid w:val="29D26360"/>
    <w:rsid w:val="29D41BB9"/>
    <w:rsid w:val="29D577A5"/>
    <w:rsid w:val="29D578BE"/>
    <w:rsid w:val="29D9332D"/>
    <w:rsid w:val="29DC046C"/>
    <w:rsid w:val="29DE63D7"/>
    <w:rsid w:val="29E23142"/>
    <w:rsid w:val="29E45228"/>
    <w:rsid w:val="29E860AA"/>
    <w:rsid w:val="29EC1E0F"/>
    <w:rsid w:val="29F22F44"/>
    <w:rsid w:val="29F62B87"/>
    <w:rsid w:val="29FD4CA6"/>
    <w:rsid w:val="29FE6DEE"/>
    <w:rsid w:val="2A026EE3"/>
    <w:rsid w:val="2A043CA0"/>
    <w:rsid w:val="2A087389"/>
    <w:rsid w:val="2A10006B"/>
    <w:rsid w:val="2A1035DA"/>
    <w:rsid w:val="2A140227"/>
    <w:rsid w:val="2A143422"/>
    <w:rsid w:val="2A177A4C"/>
    <w:rsid w:val="2A1839A0"/>
    <w:rsid w:val="2A1C7A4C"/>
    <w:rsid w:val="2A1E319B"/>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E1CAD"/>
    <w:rsid w:val="2A4F2C1A"/>
    <w:rsid w:val="2A504417"/>
    <w:rsid w:val="2A517BBA"/>
    <w:rsid w:val="2A647BBD"/>
    <w:rsid w:val="2A660B6D"/>
    <w:rsid w:val="2A665ACE"/>
    <w:rsid w:val="2A6D4792"/>
    <w:rsid w:val="2A702FE4"/>
    <w:rsid w:val="2A7567AE"/>
    <w:rsid w:val="2A776776"/>
    <w:rsid w:val="2A796EEA"/>
    <w:rsid w:val="2A7D011F"/>
    <w:rsid w:val="2A7F646F"/>
    <w:rsid w:val="2A80524E"/>
    <w:rsid w:val="2A881DB0"/>
    <w:rsid w:val="2A883AEC"/>
    <w:rsid w:val="2A8B632E"/>
    <w:rsid w:val="2A954D77"/>
    <w:rsid w:val="2A961C77"/>
    <w:rsid w:val="2A9A7929"/>
    <w:rsid w:val="2A9E19E6"/>
    <w:rsid w:val="2AA853C8"/>
    <w:rsid w:val="2AAB728D"/>
    <w:rsid w:val="2AB4686A"/>
    <w:rsid w:val="2AB55B2E"/>
    <w:rsid w:val="2AC12114"/>
    <w:rsid w:val="2AC661F4"/>
    <w:rsid w:val="2AC91296"/>
    <w:rsid w:val="2AD03C7C"/>
    <w:rsid w:val="2AD408B6"/>
    <w:rsid w:val="2ADB447F"/>
    <w:rsid w:val="2AE56C4E"/>
    <w:rsid w:val="2AEC7045"/>
    <w:rsid w:val="2AED2B9E"/>
    <w:rsid w:val="2AEE6BF5"/>
    <w:rsid w:val="2AEF1DBC"/>
    <w:rsid w:val="2AF81365"/>
    <w:rsid w:val="2AF940AB"/>
    <w:rsid w:val="2AFA29BD"/>
    <w:rsid w:val="2AFF2EB0"/>
    <w:rsid w:val="2AFF6246"/>
    <w:rsid w:val="2B061E16"/>
    <w:rsid w:val="2B0651DB"/>
    <w:rsid w:val="2B07006C"/>
    <w:rsid w:val="2B081CE2"/>
    <w:rsid w:val="2B0B7DF6"/>
    <w:rsid w:val="2B0E24FA"/>
    <w:rsid w:val="2B122123"/>
    <w:rsid w:val="2B130886"/>
    <w:rsid w:val="2B175000"/>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01C3E"/>
    <w:rsid w:val="2BA1091C"/>
    <w:rsid w:val="2BA326B6"/>
    <w:rsid w:val="2BA4061C"/>
    <w:rsid w:val="2BA56565"/>
    <w:rsid w:val="2BAD048A"/>
    <w:rsid w:val="2BAF422F"/>
    <w:rsid w:val="2BB858A3"/>
    <w:rsid w:val="2BC47F83"/>
    <w:rsid w:val="2BC520BA"/>
    <w:rsid w:val="2BCD2333"/>
    <w:rsid w:val="2BCF6C34"/>
    <w:rsid w:val="2BD0530A"/>
    <w:rsid w:val="2BD07A7B"/>
    <w:rsid w:val="2BD157A2"/>
    <w:rsid w:val="2BD56B76"/>
    <w:rsid w:val="2BD56CE3"/>
    <w:rsid w:val="2BE03D81"/>
    <w:rsid w:val="2BE314B3"/>
    <w:rsid w:val="2BE61B73"/>
    <w:rsid w:val="2BEC1B8B"/>
    <w:rsid w:val="2BEF1596"/>
    <w:rsid w:val="2BEF60D0"/>
    <w:rsid w:val="2BF43CAA"/>
    <w:rsid w:val="2BFE2BBC"/>
    <w:rsid w:val="2C042327"/>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C3BFB"/>
    <w:rsid w:val="2C6D7F1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AC11C8"/>
    <w:rsid w:val="2CB4069E"/>
    <w:rsid w:val="2CB83960"/>
    <w:rsid w:val="2CB9719D"/>
    <w:rsid w:val="2CBB1822"/>
    <w:rsid w:val="2CBD5FFF"/>
    <w:rsid w:val="2CBE00EC"/>
    <w:rsid w:val="2CC63844"/>
    <w:rsid w:val="2CC823DB"/>
    <w:rsid w:val="2CC855FE"/>
    <w:rsid w:val="2CCD11D4"/>
    <w:rsid w:val="2CDD7FEB"/>
    <w:rsid w:val="2CE1756B"/>
    <w:rsid w:val="2CE202D4"/>
    <w:rsid w:val="2CE914BE"/>
    <w:rsid w:val="2CEA0BBE"/>
    <w:rsid w:val="2CF03153"/>
    <w:rsid w:val="2CFE082A"/>
    <w:rsid w:val="2CFE7418"/>
    <w:rsid w:val="2D03574C"/>
    <w:rsid w:val="2D03772A"/>
    <w:rsid w:val="2D0772FD"/>
    <w:rsid w:val="2D0947D4"/>
    <w:rsid w:val="2D0C28DF"/>
    <w:rsid w:val="2D13536A"/>
    <w:rsid w:val="2D233963"/>
    <w:rsid w:val="2D257BFA"/>
    <w:rsid w:val="2D265F5C"/>
    <w:rsid w:val="2D273A5B"/>
    <w:rsid w:val="2D2B7ED9"/>
    <w:rsid w:val="2D3208A0"/>
    <w:rsid w:val="2D33531C"/>
    <w:rsid w:val="2D395715"/>
    <w:rsid w:val="2D40613E"/>
    <w:rsid w:val="2D417289"/>
    <w:rsid w:val="2D437920"/>
    <w:rsid w:val="2D437BCD"/>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9E1346"/>
    <w:rsid w:val="2DA278C0"/>
    <w:rsid w:val="2DA72CD8"/>
    <w:rsid w:val="2DA91251"/>
    <w:rsid w:val="2DA96C61"/>
    <w:rsid w:val="2DA97B1A"/>
    <w:rsid w:val="2DAF69D3"/>
    <w:rsid w:val="2DBA7C19"/>
    <w:rsid w:val="2DC714C5"/>
    <w:rsid w:val="2DC74275"/>
    <w:rsid w:val="2DCA634A"/>
    <w:rsid w:val="2DCA6960"/>
    <w:rsid w:val="2DCD7D49"/>
    <w:rsid w:val="2DD12162"/>
    <w:rsid w:val="2DD255B2"/>
    <w:rsid w:val="2DD476D7"/>
    <w:rsid w:val="2DD5219C"/>
    <w:rsid w:val="2DD65988"/>
    <w:rsid w:val="2DD83ACE"/>
    <w:rsid w:val="2DD867F4"/>
    <w:rsid w:val="2DE3126E"/>
    <w:rsid w:val="2DE96ECA"/>
    <w:rsid w:val="2DEC361D"/>
    <w:rsid w:val="2DF40350"/>
    <w:rsid w:val="2DFD25D1"/>
    <w:rsid w:val="2DFD42E1"/>
    <w:rsid w:val="2DFE3435"/>
    <w:rsid w:val="2E06618B"/>
    <w:rsid w:val="2E1931E7"/>
    <w:rsid w:val="2E1F4650"/>
    <w:rsid w:val="2E281711"/>
    <w:rsid w:val="2E3656F1"/>
    <w:rsid w:val="2E421513"/>
    <w:rsid w:val="2E4222B5"/>
    <w:rsid w:val="2E4E4DEE"/>
    <w:rsid w:val="2E540FD3"/>
    <w:rsid w:val="2E5962C8"/>
    <w:rsid w:val="2E596301"/>
    <w:rsid w:val="2E596FC7"/>
    <w:rsid w:val="2E5A68F4"/>
    <w:rsid w:val="2E5D1B8D"/>
    <w:rsid w:val="2E5F40D2"/>
    <w:rsid w:val="2E603C24"/>
    <w:rsid w:val="2E611FCC"/>
    <w:rsid w:val="2E625789"/>
    <w:rsid w:val="2E63294B"/>
    <w:rsid w:val="2E6B30C9"/>
    <w:rsid w:val="2E6B37B5"/>
    <w:rsid w:val="2E6E08F8"/>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D5723"/>
    <w:rsid w:val="2EBF694E"/>
    <w:rsid w:val="2EC90753"/>
    <w:rsid w:val="2EC9758F"/>
    <w:rsid w:val="2ECC45DC"/>
    <w:rsid w:val="2ED20358"/>
    <w:rsid w:val="2ED30992"/>
    <w:rsid w:val="2ED671F3"/>
    <w:rsid w:val="2EDC56CA"/>
    <w:rsid w:val="2EDE5C55"/>
    <w:rsid w:val="2EDF2369"/>
    <w:rsid w:val="2EE03EAF"/>
    <w:rsid w:val="2EE43EA0"/>
    <w:rsid w:val="2EE536DC"/>
    <w:rsid w:val="2EEF1953"/>
    <w:rsid w:val="2EEF19BC"/>
    <w:rsid w:val="2EF37BF0"/>
    <w:rsid w:val="2EFF46B2"/>
    <w:rsid w:val="2F0157E4"/>
    <w:rsid w:val="2F031F8F"/>
    <w:rsid w:val="2F095E89"/>
    <w:rsid w:val="2F0B15D4"/>
    <w:rsid w:val="2F0D0070"/>
    <w:rsid w:val="2F0D68BA"/>
    <w:rsid w:val="2F0E2111"/>
    <w:rsid w:val="2F0E59F5"/>
    <w:rsid w:val="2F1A4DA6"/>
    <w:rsid w:val="2F2172C5"/>
    <w:rsid w:val="2F234D05"/>
    <w:rsid w:val="2F27232D"/>
    <w:rsid w:val="2F29414F"/>
    <w:rsid w:val="2F2A789C"/>
    <w:rsid w:val="2F3209CD"/>
    <w:rsid w:val="2F3249B1"/>
    <w:rsid w:val="2F3273D7"/>
    <w:rsid w:val="2F3A42F6"/>
    <w:rsid w:val="2F464A98"/>
    <w:rsid w:val="2F48614F"/>
    <w:rsid w:val="2F487FE6"/>
    <w:rsid w:val="2F5173DD"/>
    <w:rsid w:val="2F530D2A"/>
    <w:rsid w:val="2F5B7BF2"/>
    <w:rsid w:val="2F5C0A04"/>
    <w:rsid w:val="2F5F4845"/>
    <w:rsid w:val="2F600B70"/>
    <w:rsid w:val="2F603581"/>
    <w:rsid w:val="2F642D5D"/>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D6ED3"/>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00501"/>
    <w:rsid w:val="30176BA2"/>
    <w:rsid w:val="301B4680"/>
    <w:rsid w:val="30237EFB"/>
    <w:rsid w:val="302719FF"/>
    <w:rsid w:val="302722EF"/>
    <w:rsid w:val="30293768"/>
    <w:rsid w:val="302A22DE"/>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815C2"/>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9115E2"/>
    <w:rsid w:val="3095450A"/>
    <w:rsid w:val="30A55D26"/>
    <w:rsid w:val="30A852D9"/>
    <w:rsid w:val="30AA183B"/>
    <w:rsid w:val="30AB7B68"/>
    <w:rsid w:val="30B001DD"/>
    <w:rsid w:val="30B11949"/>
    <w:rsid w:val="30B47501"/>
    <w:rsid w:val="30C11992"/>
    <w:rsid w:val="30C31A45"/>
    <w:rsid w:val="30C71F2B"/>
    <w:rsid w:val="30C76CBF"/>
    <w:rsid w:val="30CB2784"/>
    <w:rsid w:val="30CC38E7"/>
    <w:rsid w:val="30CC5E99"/>
    <w:rsid w:val="30D10D4D"/>
    <w:rsid w:val="30D93137"/>
    <w:rsid w:val="30DC42AB"/>
    <w:rsid w:val="30E068F9"/>
    <w:rsid w:val="30EF2653"/>
    <w:rsid w:val="310612F8"/>
    <w:rsid w:val="310E5B69"/>
    <w:rsid w:val="311108E9"/>
    <w:rsid w:val="31130B1C"/>
    <w:rsid w:val="31143422"/>
    <w:rsid w:val="31145B17"/>
    <w:rsid w:val="3114758B"/>
    <w:rsid w:val="31177D87"/>
    <w:rsid w:val="312008C2"/>
    <w:rsid w:val="31241CD6"/>
    <w:rsid w:val="312A3D0F"/>
    <w:rsid w:val="312A3E54"/>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4003E"/>
    <w:rsid w:val="3217624B"/>
    <w:rsid w:val="32177C99"/>
    <w:rsid w:val="321C0937"/>
    <w:rsid w:val="322F0F01"/>
    <w:rsid w:val="3230496F"/>
    <w:rsid w:val="32307F8D"/>
    <w:rsid w:val="323613C1"/>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A3EAD"/>
    <w:rsid w:val="330D2A2F"/>
    <w:rsid w:val="330E2CB4"/>
    <w:rsid w:val="33117561"/>
    <w:rsid w:val="33141DC6"/>
    <w:rsid w:val="33172822"/>
    <w:rsid w:val="331A3BCD"/>
    <w:rsid w:val="33215EA1"/>
    <w:rsid w:val="33227045"/>
    <w:rsid w:val="33262E12"/>
    <w:rsid w:val="33271667"/>
    <w:rsid w:val="33272AFD"/>
    <w:rsid w:val="33277E34"/>
    <w:rsid w:val="332950D4"/>
    <w:rsid w:val="332D3BF3"/>
    <w:rsid w:val="33335D2B"/>
    <w:rsid w:val="33346A33"/>
    <w:rsid w:val="33355A2E"/>
    <w:rsid w:val="33355B61"/>
    <w:rsid w:val="33373461"/>
    <w:rsid w:val="33390D3A"/>
    <w:rsid w:val="333C6AC3"/>
    <w:rsid w:val="333F6B9C"/>
    <w:rsid w:val="33437504"/>
    <w:rsid w:val="33481298"/>
    <w:rsid w:val="334C0DD9"/>
    <w:rsid w:val="334D4192"/>
    <w:rsid w:val="33530BF2"/>
    <w:rsid w:val="33536DFC"/>
    <w:rsid w:val="33553979"/>
    <w:rsid w:val="33557AD1"/>
    <w:rsid w:val="3357390E"/>
    <w:rsid w:val="33584F7A"/>
    <w:rsid w:val="335E0128"/>
    <w:rsid w:val="335F4450"/>
    <w:rsid w:val="335F67C2"/>
    <w:rsid w:val="33663464"/>
    <w:rsid w:val="33682E0E"/>
    <w:rsid w:val="336832BC"/>
    <w:rsid w:val="336C0524"/>
    <w:rsid w:val="336D18AB"/>
    <w:rsid w:val="336D3ADF"/>
    <w:rsid w:val="336E7AF9"/>
    <w:rsid w:val="3373209D"/>
    <w:rsid w:val="337378BD"/>
    <w:rsid w:val="337410F4"/>
    <w:rsid w:val="33742E94"/>
    <w:rsid w:val="3378211E"/>
    <w:rsid w:val="337D1A35"/>
    <w:rsid w:val="3380361E"/>
    <w:rsid w:val="33804C38"/>
    <w:rsid w:val="33886CEE"/>
    <w:rsid w:val="338B1267"/>
    <w:rsid w:val="33915561"/>
    <w:rsid w:val="33952B15"/>
    <w:rsid w:val="33953748"/>
    <w:rsid w:val="339B2E99"/>
    <w:rsid w:val="339D641B"/>
    <w:rsid w:val="339F747C"/>
    <w:rsid w:val="33A41288"/>
    <w:rsid w:val="33A75E06"/>
    <w:rsid w:val="33AF54BE"/>
    <w:rsid w:val="33C14525"/>
    <w:rsid w:val="33C45DA4"/>
    <w:rsid w:val="33C57FBC"/>
    <w:rsid w:val="33C979F1"/>
    <w:rsid w:val="33CA72F2"/>
    <w:rsid w:val="33CE34C9"/>
    <w:rsid w:val="33CF32BC"/>
    <w:rsid w:val="33D51CFB"/>
    <w:rsid w:val="33D63892"/>
    <w:rsid w:val="33DA3C12"/>
    <w:rsid w:val="33DC6CEA"/>
    <w:rsid w:val="33DE78CE"/>
    <w:rsid w:val="33E06359"/>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321C0"/>
    <w:rsid w:val="346605B2"/>
    <w:rsid w:val="346615B7"/>
    <w:rsid w:val="346E280F"/>
    <w:rsid w:val="346E701E"/>
    <w:rsid w:val="3473163B"/>
    <w:rsid w:val="3475356C"/>
    <w:rsid w:val="3475716B"/>
    <w:rsid w:val="34772E9F"/>
    <w:rsid w:val="347D6B7F"/>
    <w:rsid w:val="347F6999"/>
    <w:rsid w:val="3492319E"/>
    <w:rsid w:val="34931F95"/>
    <w:rsid w:val="34940D7C"/>
    <w:rsid w:val="34A334D1"/>
    <w:rsid w:val="34A70B52"/>
    <w:rsid w:val="34AE5AC0"/>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2197E"/>
    <w:rsid w:val="34FC1C9F"/>
    <w:rsid w:val="34FC719E"/>
    <w:rsid w:val="35014991"/>
    <w:rsid w:val="35036E93"/>
    <w:rsid w:val="350B0AD8"/>
    <w:rsid w:val="350B76D0"/>
    <w:rsid w:val="350F290B"/>
    <w:rsid w:val="350F48BF"/>
    <w:rsid w:val="35114204"/>
    <w:rsid w:val="35117CA3"/>
    <w:rsid w:val="351446B3"/>
    <w:rsid w:val="3516514D"/>
    <w:rsid w:val="35194741"/>
    <w:rsid w:val="351D4ECB"/>
    <w:rsid w:val="351E228E"/>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C6D31"/>
    <w:rsid w:val="359E0193"/>
    <w:rsid w:val="35A13235"/>
    <w:rsid w:val="35A14472"/>
    <w:rsid w:val="35A27A3D"/>
    <w:rsid w:val="35A833BD"/>
    <w:rsid w:val="35AB2F52"/>
    <w:rsid w:val="35B14C48"/>
    <w:rsid w:val="35B66467"/>
    <w:rsid w:val="35B74EE0"/>
    <w:rsid w:val="35B9424B"/>
    <w:rsid w:val="35BB4FCF"/>
    <w:rsid w:val="35BE52A4"/>
    <w:rsid w:val="35CD3301"/>
    <w:rsid w:val="35D05B8C"/>
    <w:rsid w:val="35D229D8"/>
    <w:rsid w:val="35D22AB1"/>
    <w:rsid w:val="35D61974"/>
    <w:rsid w:val="35D91BC5"/>
    <w:rsid w:val="35DC07B2"/>
    <w:rsid w:val="35DD3F08"/>
    <w:rsid w:val="35E569D0"/>
    <w:rsid w:val="35EF3862"/>
    <w:rsid w:val="35F4661D"/>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3B6EE3"/>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8F429B"/>
    <w:rsid w:val="369464A6"/>
    <w:rsid w:val="36985ABF"/>
    <w:rsid w:val="36991D1F"/>
    <w:rsid w:val="369952E9"/>
    <w:rsid w:val="369B322E"/>
    <w:rsid w:val="36AA260C"/>
    <w:rsid w:val="36AC07F0"/>
    <w:rsid w:val="36B074A1"/>
    <w:rsid w:val="36B67671"/>
    <w:rsid w:val="36B83DA7"/>
    <w:rsid w:val="36B85A7D"/>
    <w:rsid w:val="36BB013A"/>
    <w:rsid w:val="36C4288E"/>
    <w:rsid w:val="36C70A16"/>
    <w:rsid w:val="36C73BE1"/>
    <w:rsid w:val="36C80FF7"/>
    <w:rsid w:val="36CF2824"/>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3F2AC8"/>
    <w:rsid w:val="374370B3"/>
    <w:rsid w:val="37497D6C"/>
    <w:rsid w:val="3750226C"/>
    <w:rsid w:val="37502818"/>
    <w:rsid w:val="375127CE"/>
    <w:rsid w:val="37513D01"/>
    <w:rsid w:val="37535CB6"/>
    <w:rsid w:val="375C30D2"/>
    <w:rsid w:val="376C5889"/>
    <w:rsid w:val="376D30B7"/>
    <w:rsid w:val="376F3C3D"/>
    <w:rsid w:val="37777509"/>
    <w:rsid w:val="37782D0E"/>
    <w:rsid w:val="37786A31"/>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A3E9E"/>
    <w:rsid w:val="38AB3864"/>
    <w:rsid w:val="38AE6A06"/>
    <w:rsid w:val="38B26579"/>
    <w:rsid w:val="38B56AEF"/>
    <w:rsid w:val="38B73B4E"/>
    <w:rsid w:val="38B83EAC"/>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5906"/>
    <w:rsid w:val="393F7A28"/>
    <w:rsid w:val="39402C51"/>
    <w:rsid w:val="3942196B"/>
    <w:rsid w:val="39422E40"/>
    <w:rsid w:val="39440716"/>
    <w:rsid w:val="394E1A7D"/>
    <w:rsid w:val="395170F6"/>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84702E"/>
    <w:rsid w:val="39887A03"/>
    <w:rsid w:val="398D258D"/>
    <w:rsid w:val="399F0E88"/>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26005"/>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30707"/>
    <w:rsid w:val="3A5F0343"/>
    <w:rsid w:val="3A60190A"/>
    <w:rsid w:val="3A630CF7"/>
    <w:rsid w:val="3A650C30"/>
    <w:rsid w:val="3A66072E"/>
    <w:rsid w:val="3A6A0FC1"/>
    <w:rsid w:val="3A6D1A65"/>
    <w:rsid w:val="3A701DEF"/>
    <w:rsid w:val="3A706801"/>
    <w:rsid w:val="3A730B6B"/>
    <w:rsid w:val="3A762431"/>
    <w:rsid w:val="3A783078"/>
    <w:rsid w:val="3A796F51"/>
    <w:rsid w:val="3A7C0C27"/>
    <w:rsid w:val="3A81594C"/>
    <w:rsid w:val="3A843875"/>
    <w:rsid w:val="3A847C2A"/>
    <w:rsid w:val="3A87131D"/>
    <w:rsid w:val="3A8A0876"/>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6F59"/>
    <w:rsid w:val="3ABE7AA6"/>
    <w:rsid w:val="3AC43768"/>
    <w:rsid w:val="3AC7482E"/>
    <w:rsid w:val="3ACE635C"/>
    <w:rsid w:val="3AD83A9E"/>
    <w:rsid w:val="3ADD4A23"/>
    <w:rsid w:val="3ADF6377"/>
    <w:rsid w:val="3AE1451D"/>
    <w:rsid w:val="3AE41F22"/>
    <w:rsid w:val="3AE52C73"/>
    <w:rsid w:val="3AE56019"/>
    <w:rsid w:val="3AE66C68"/>
    <w:rsid w:val="3AED7403"/>
    <w:rsid w:val="3AEF57AB"/>
    <w:rsid w:val="3AF72D01"/>
    <w:rsid w:val="3AF851C8"/>
    <w:rsid w:val="3AFA65B6"/>
    <w:rsid w:val="3AFE22AE"/>
    <w:rsid w:val="3B0537E4"/>
    <w:rsid w:val="3B05660E"/>
    <w:rsid w:val="3B067205"/>
    <w:rsid w:val="3B12379B"/>
    <w:rsid w:val="3B12533D"/>
    <w:rsid w:val="3B194589"/>
    <w:rsid w:val="3B197D77"/>
    <w:rsid w:val="3B1F7B05"/>
    <w:rsid w:val="3B210401"/>
    <w:rsid w:val="3B226B5E"/>
    <w:rsid w:val="3B275CD2"/>
    <w:rsid w:val="3B2811AE"/>
    <w:rsid w:val="3B2819AB"/>
    <w:rsid w:val="3B3555B5"/>
    <w:rsid w:val="3B374BB8"/>
    <w:rsid w:val="3B3A63B0"/>
    <w:rsid w:val="3B3F2FC7"/>
    <w:rsid w:val="3B4063BA"/>
    <w:rsid w:val="3B475528"/>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5471A"/>
    <w:rsid w:val="3BEE6FB8"/>
    <w:rsid w:val="3BF131AA"/>
    <w:rsid w:val="3BF21710"/>
    <w:rsid w:val="3BF41800"/>
    <w:rsid w:val="3BF4498C"/>
    <w:rsid w:val="3BFA6FF0"/>
    <w:rsid w:val="3BFD22A9"/>
    <w:rsid w:val="3C004384"/>
    <w:rsid w:val="3C07370F"/>
    <w:rsid w:val="3C096A64"/>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102D"/>
    <w:rsid w:val="3C64429D"/>
    <w:rsid w:val="3C651B5F"/>
    <w:rsid w:val="3C6666ED"/>
    <w:rsid w:val="3C6B6A77"/>
    <w:rsid w:val="3C6D1FB1"/>
    <w:rsid w:val="3C6D5054"/>
    <w:rsid w:val="3C705F26"/>
    <w:rsid w:val="3C7D236C"/>
    <w:rsid w:val="3C914E1A"/>
    <w:rsid w:val="3C961419"/>
    <w:rsid w:val="3CA05373"/>
    <w:rsid w:val="3CA12CEA"/>
    <w:rsid w:val="3CA1514C"/>
    <w:rsid w:val="3CA40A32"/>
    <w:rsid w:val="3CAE61AF"/>
    <w:rsid w:val="3CC13333"/>
    <w:rsid w:val="3CCB357A"/>
    <w:rsid w:val="3CD1503D"/>
    <w:rsid w:val="3CD2153E"/>
    <w:rsid w:val="3CD259B2"/>
    <w:rsid w:val="3CDF6131"/>
    <w:rsid w:val="3CE93697"/>
    <w:rsid w:val="3CED1A87"/>
    <w:rsid w:val="3CF06EF8"/>
    <w:rsid w:val="3CF1328C"/>
    <w:rsid w:val="3CF550A4"/>
    <w:rsid w:val="3CF61DAF"/>
    <w:rsid w:val="3CF71B17"/>
    <w:rsid w:val="3CFE6068"/>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4F48D6"/>
    <w:rsid w:val="3D5047EF"/>
    <w:rsid w:val="3D5D4227"/>
    <w:rsid w:val="3D64008F"/>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10541"/>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8962D6"/>
    <w:rsid w:val="3E901BC7"/>
    <w:rsid w:val="3E903CE0"/>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D0652"/>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0DF9"/>
    <w:rsid w:val="3F5F3D73"/>
    <w:rsid w:val="3F5F4C59"/>
    <w:rsid w:val="3F5F5C1D"/>
    <w:rsid w:val="3F600CDF"/>
    <w:rsid w:val="3F617594"/>
    <w:rsid w:val="3F6340BB"/>
    <w:rsid w:val="3F666017"/>
    <w:rsid w:val="3F6959E9"/>
    <w:rsid w:val="3F772CDB"/>
    <w:rsid w:val="3F782BF0"/>
    <w:rsid w:val="3F78346E"/>
    <w:rsid w:val="3F7F37C6"/>
    <w:rsid w:val="3F805BE6"/>
    <w:rsid w:val="3F856B04"/>
    <w:rsid w:val="3F861C6A"/>
    <w:rsid w:val="3F8F1C55"/>
    <w:rsid w:val="3F9730FF"/>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99041D"/>
    <w:rsid w:val="40A27041"/>
    <w:rsid w:val="40A84378"/>
    <w:rsid w:val="40AB4BB4"/>
    <w:rsid w:val="40B05999"/>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8A4"/>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4D69C5"/>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3E41"/>
    <w:rsid w:val="42CD59EE"/>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2D0629"/>
    <w:rsid w:val="43326407"/>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D73936"/>
    <w:rsid w:val="43DF4BED"/>
    <w:rsid w:val="43E722A3"/>
    <w:rsid w:val="43EE0AA9"/>
    <w:rsid w:val="43EF62AC"/>
    <w:rsid w:val="43F13345"/>
    <w:rsid w:val="43F83415"/>
    <w:rsid w:val="43F86AD8"/>
    <w:rsid w:val="43F95C99"/>
    <w:rsid w:val="43FA5C03"/>
    <w:rsid w:val="43FC500F"/>
    <w:rsid w:val="43FE7E59"/>
    <w:rsid w:val="44033801"/>
    <w:rsid w:val="440448F6"/>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940"/>
    <w:rsid w:val="44484C08"/>
    <w:rsid w:val="444A5362"/>
    <w:rsid w:val="444E4F29"/>
    <w:rsid w:val="445022C0"/>
    <w:rsid w:val="44505FD1"/>
    <w:rsid w:val="44534580"/>
    <w:rsid w:val="44535ADB"/>
    <w:rsid w:val="44570410"/>
    <w:rsid w:val="445E6E4E"/>
    <w:rsid w:val="445E7171"/>
    <w:rsid w:val="445F38CD"/>
    <w:rsid w:val="44607765"/>
    <w:rsid w:val="446768BB"/>
    <w:rsid w:val="4469781B"/>
    <w:rsid w:val="446B012C"/>
    <w:rsid w:val="44724C49"/>
    <w:rsid w:val="44826636"/>
    <w:rsid w:val="44881162"/>
    <w:rsid w:val="448A5AA2"/>
    <w:rsid w:val="44943627"/>
    <w:rsid w:val="44960FDB"/>
    <w:rsid w:val="449C56DD"/>
    <w:rsid w:val="449D3C5A"/>
    <w:rsid w:val="44A54B04"/>
    <w:rsid w:val="44A85D3D"/>
    <w:rsid w:val="44AD0406"/>
    <w:rsid w:val="44B43D5E"/>
    <w:rsid w:val="44B54793"/>
    <w:rsid w:val="44B90546"/>
    <w:rsid w:val="44BE2AAE"/>
    <w:rsid w:val="44BF4DE3"/>
    <w:rsid w:val="44C0325F"/>
    <w:rsid w:val="44C6600D"/>
    <w:rsid w:val="44C6759F"/>
    <w:rsid w:val="44C965E3"/>
    <w:rsid w:val="44CA4B77"/>
    <w:rsid w:val="44D10CE6"/>
    <w:rsid w:val="44D517D8"/>
    <w:rsid w:val="44D52B82"/>
    <w:rsid w:val="44DD3BEB"/>
    <w:rsid w:val="44DF0462"/>
    <w:rsid w:val="44E35CD5"/>
    <w:rsid w:val="44E7455F"/>
    <w:rsid w:val="44E86C5D"/>
    <w:rsid w:val="44EB6549"/>
    <w:rsid w:val="44EE20C5"/>
    <w:rsid w:val="44EF08CC"/>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C2AF2"/>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029B3"/>
    <w:rsid w:val="45D13678"/>
    <w:rsid w:val="45E3280A"/>
    <w:rsid w:val="45F10A3B"/>
    <w:rsid w:val="45F46BD5"/>
    <w:rsid w:val="45F9658B"/>
    <w:rsid w:val="460901E2"/>
    <w:rsid w:val="460E70F2"/>
    <w:rsid w:val="46150705"/>
    <w:rsid w:val="462F0105"/>
    <w:rsid w:val="46300ECC"/>
    <w:rsid w:val="46333D16"/>
    <w:rsid w:val="46340BB8"/>
    <w:rsid w:val="463A512E"/>
    <w:rsid w:val="46472534"/>
    <w:rsid w:val="464B1BCE"/>
    <w:rsid w:val="465639E7"/>
    <w:rsid w:val="465A3C55"/>
    <w:rsid w:val="465E45BA"/>
    <w:rsid w:val="465E4A48"/>
    <w:rsid w:val="46601C9C"/>
    <w:rsid w:val="466615E3"/>
    <w:rsid w:val="466C5FCE"/>
    <w:rsid w:val="466D0B7B"/>
    <w:rsid w:val="4676536F"/>
    <w:rsid w:val="468B66C1"/>
    <w:rsid w:val="46932F60"/>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4D1873"/>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DD76B0"/>
    <w:rsid w:val="47E73451"/>
    <w:rsid w:val="47E7644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0366"/>
    <w:rsid w:val="48464EF0"/>
    <w:rsid w:val="484F41A2"/>
    <w:rsid w:val="48523A34"/>
    <w:rsid w:val="485F4663"/>
    <w:rsid w:val="485F70FF"/>
    <w:rsid w:val="48617739"/>
    <w:rsid w:val="48635EB3"/>
    <w:rsid w:val="486A2830"/>
    <w:rsid w:val="486A5FEC"/>
    <w:rsid w:val="486C5614"/>
    <w:rsid w:val="486C6A8A"/>
    <w:rsid w:val="486E771F"/>
    <w:rsid w:val="48711F85"/>
    <w:rsid w:val="487170EB"/>
    <w:rsid w:val="487D49EA"/>
    <w:rsid w:val="48845AE8"/>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20337"/>
    <w:rsid w:val="49065038"/>
    <w:rsid w:val="49085466"/>
    <w:rsid w:val="490941C4"/>
    <w:rsid w:val="490D7F50"/>
    <w:rsid w:val="49135BFA"/>
    <w:rsid w:val="49145833"/>
    <w:rsid w:val="49170910"/>
    <w:rsid w:val="49187B74"/>
    <w:rsid w:val="491C4520"/>
    <w:rsid w:val="491E69D7"/>
    <w:rsid w:val="49221EB4"/>
    <w:rsid w:val="4924131D"/>
    <w:rsid w:val="49245BEB"/>
    <w:rsid w:val="49247EC8"/>
    <w:rsid w:val="49250C1A"/>
    <w:rsid w:val="4926347D"/>
    <w:rsid w:val="4928527F"/>
    <w:rsid w:val="492F0E3C"/>
    <w:rsid w:val="49337362"/>
    <w:rsid w:val="49345E02"/>
    <w:rsid w:val="4936322B"/>
    <w:rsid w:val="49382945"/>
    <w:rsid w:val="4939386A"/>
    <w:rsid w:val="493965AB"/>
    <w:rsid w:val="493967F3"/>
    <w:rsid w:val="493A15B1"/>
    <w:rsid w:val="493C0D9B"/>
    <w:rsid w:val="49403057"/>
    <w:rsid w:val="49407EF1"/>
    <w:rsid w:val="4942210A"/>
    <w:rsid w:val="49436453"/>
    <w:rsid w:val="49457465"/>
    <w:rsid w:val="49491443"/>
    <w:rsid w:val="494919A5"/>
    <w:rsid w:val="494F5B6D"/>
    <w:rsid w:val="495279F6"/>
    <w:rsid w:val="49577ABB"/>
    <w:rsid w:val="49657300"/>
    <w:rsid w:val="49664C24"/>
    <w:rsid w:val="49681029"/>
    <w:rsid w:val="49736BE2"/>
    <w:rsid w:val="49737639"/>
    <w:rsid w:val="497831B7"/>
    <w:rsid w:val="497A4AAC"/>
    <w:rsid w:val="497A7AEA"/>
    <w:rsid w:val="497D0172"/>
    <w:rsid w:val="49802354"/>
    <w:rsid w:val="498B1AC9"/>
    <w:rsid w:val="498B628E"/>
    <w:rsid w:val="49963E14"/>
    <w:rsid w:val="49967804"/>
    <w:rsid w:val="499721AD"/>
    <w:rsid w:val="499762DC"/>
    <w:rsid w:val="49980409"/>
    <w:rsid w:val="499B6700"/>
    <w:rsid w:val="499C0F2B"/>
    <w:rsid w:val="49A47274"/>
    <w:rsid w:val="49A64BBF"/>
    <w:rsid w:val="49AD512B"/>
    <w:rsid w:val="49B23D17"/>
    <w:rsid w:val="49B37D36"/>
    <w:rsid w:val="49B702DC"/>
    <w:rsid w:val="49BC2B2A"/>
    <w:rsid w:val="49BF7DBC"/>
    <w:rsid w:val="49C02DD0"/>
    <w:rsid w:val="49C7275D"/>
    <w:rsid w:val="49CA7089"/>
    <w:rsid w:val="49CD0E2D"/>
    <w:rsid w:val="49CD2C4F"/>
    <w:rsid w:val="49CD64B7"/>
    <w:rsid w:val="49D03F7E"/>
    <w:rsid w:val="49D72954"/>
    <w:rsid w:val="49E11966"/>
    <w:rsid w:val="49E16086"/>
    <w:rsid w:val="49EB78E5"/>
    <w:rsid w:val="49EE2D6D"/>
    <w:rsid w:val="49F1304C"/>
    <w:rsid w:val="49F40FD5"/>
    <w:rsid w:val="49F57422"/>
    <w:rsid w:val="49FB30D5"/>
    <w:rsid w:val="49FE1F48"/>
    <w:rsid w:val="4A004F79"/>
    <w:rsid w:val="4A0C1EE8"/>
    <w:rsid w:val="4A0C29E0"/>
    <w:rsid w:val="4A0D60CC"/>
    <w:rsid w:val="4A0E2231"/>
    <w:rsid w:val="4A151985"/>
    <w:rsid w:val="4A1831DF"/>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60830"/>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8C5E10"/>
    <w:rsid w:val="4A9222F5"/>
    <w:rsid w:val="4A923056"/>
    <w:rsid w:val="4AA14A86"/>
    <w:rsid w:val="4AA23361"/>
    <w:rsid w:val="4AA43A1F"/>
    <w:rsid w:val="4AAC3954"/>
    <w:rsid w:val="4AB2360B"/>
    <w:rsid w:val="4AB33224"/>
    <w:rsid w:val="4AB61230"/>
    <w:rsid w:val="4AB71223"/>
    <w:rsid w:val="4ABB09B7"/>
    <w:rsid w:val="4ACF133B"/>
    <w:rsid w:val="4ACF51E4"/>
    <w:rsid w:val="4ACF5E89"/>
    <w:rsid w:val="4AD13278"/>
    <w:rsid w:val="4AD67579"/>
    <w:rsid w:val="4AD76B5B"/>
    <w:rsid w:val="4AD907EE"/>
    <w:rsid w:val="4AE04436"/>
    <w:rsid w:val="4AE54455"/>
    <w:rsid w:val="4AE54DBF"/>
    <w:rsid w:val="4AE611E2"/>
    <w:rsid w:val="4AEA6393"/>
    <w:rsid w:val="4AEF0DD0"/>
    <w:rsid w:val="4AF17E98"/>
    <w:rsid w:val="4AF50A41"/>
    <w:rsid w:val="4AFB18B0"/>
    <w:rsid w:val="4AFB326B"/>
    <w:rsid w:val="4AFE4D25"/>
    <w:rsid w:val="4B033329"/>
    <w:rsid w:val="4B05151F"/>
    <w:rsid w:val="4B07269D"/>
    <w:rsid w:val="4B076204"/>
    <w:rsid w:val="4B092A4D"/>
    <w:rsid w:val="4B131851"/>
    <w:rsid w:val="4B1961E1"/>
    <w:rsid w:val="4B221213"/>
    <w:rsid w:val="4B273C96"/>
    <w:rsid w:val="4B2E7802"/>
    <w:rsid w:val="4B303F35"/>
    <w:rsid w:val="4B337754"/>
    <w:rsid w:val="4B3C7B12"/>
    <w:rsid w:val="4B3E514A"/>
    <w:rsid w:val="4B405B8A"/>
    <w:rsid w:val="4B4668DC"/>
    <w:rsid w:val="4B472853"/>
    <w:rsid w:val="4B4A0A9E"/>
    <w:rsid w:val="4B52609A"/>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B7CB8"/>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96D17"/>
    <w:rsid w:val="4C8E2FBA"/>
    <w:rsid w:val="4C95773A"/>
    <w:rsid w:val="4C966707"/>
    <w:rsid w:val="4C990BCD"/>
    <w:rsid w:val="4C9A4A99"/>
    <w:rsid w:val="4C9E19A3"/>
    <w:rsid w:val="4CA2019D"/>
    <w:rsid w:val="4CA37041"/>
    <w:rsid w:val="4CA37B31"/>
    <w:rsid w:val="4CA539CE"/>
    <w:rsid w:val="4CA616E3"/>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1F7973"/>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33632"/>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A4E0D"/>
    <w:rsid w:val="4E0C3881"/>
    <w:rsid w:val="4E102FFA"/>
    <w:rsid w:val="4E105B58"/>
    <w:rsid w:val="4E13360B"/>
    <w:rsid w:val="4E142D63"/>
    <w:rsid w:val="4E1432A1"/>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30597"/>
    <w:rsid w:val="4E881394"/>
    <w:rsid w:val="4E893F39"/>
    <w:rsid w:val="4E8B797D"/>
    <w:rsid w:val="4E8D6DC1"/>
    <w:rsid w:val="4E8D7BB3"/>
    <w:rsid w:val="4E991BA4"/>
    <w:rsid w:val="4E995228"/>
    <w:rsid w:val="4E9A794B"/>
    <w:rsid w:val="4E9D6A10"/>
    <w:rsid w:val="4EA62A18"/>
    <w:rsid w:val="4EA84426"/>
    <w:rsid w:val="4EAB217A"/>
    <w:rsid w:val="4EAC35DA"/>
    <w:rsid w:val="4EB52137"/>
    <w:rsid w:val="4EB73E2F"/>
    <w:rsid w:val="4EBE2A48"/>
    <w:rsid w:val="4EC51408"/>
    <w:rsid w:val="4EC96A14"/>
    <w:rsid w:val="4ECA712B"/>
    <w:rsid w:val="4ECC7C48"/>
    <w:rsid w:val="4ECE7319"/>
    <w:rsid w:val="4ED4606D"/>
    <w:rsid w:val="4ED7507A"/>
    <w:rsid w:val="4EDA3871"/>
    <w:rsid w:val="4EDB2377"/>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946E6"/>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46FA7"/>
    <w:rsid w:val="4F877E31"/>
    <w:rsid w:val="4F8A306F"/>
    <w:rsid w:val="4F8B17D4"/>
    <w:rsid w:val="4F937B21"/>
    <w:rsid w:val="4FA35065"/>
    <w:rsid w:val="4FA71943"/>
    <w:rsid w:val="4FAB18EF"/>
    <w:rsid w:val="4FB273C0"/>
    <w:rsid w:val="4FB36127"/>
    <w:rsid w:val="4FB51B65"/>
    <w:rsid w:val="4FB758B2"/>
    <w:rsid w:val="4FBB1E80"/>
    <w:rsid w:val="4FC145FF"/>
    <w:rsid w:val="4FC84446"/>
    <w:rsid w:val="4FC94AF2"/>
    <w:rsid w:val="4FCB5260"/>
    <w:rsid w:val="4FCB650F"/>
    <w:rsid w:val="4FCC12F6"/>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8C0037"/>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DC3"/>
    <w:rsid w:val="51236E17"/>
    <w:rsid w:val="51283E61"/>
    <w:rsid w:val="513762B1"/>
    <w:rsid w:val="51387909"/>
    <w:rsid w:val="513D447B"/>
    <w:rsid w:val="513D4AA1"/>
    <w:rsid w:val="513E5DE2"/>
    <w:rsid w:val="513F74AF"/>
    <w:rsid w:val="51413DE5"/>
    <w:rsid w:val="5146189A"/>
    <w:rsid w:val="51522F10"/>
    <w:rsid w:val="51562916"/>
    <w:rsid w:val="515B34F5"/>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2264E"/>
    <w:rsid w:val="51E96BB5"/>
    <w:rsid w:val="51ED104F"/>
    <w:rsid w:val="51EF47CF"/>
    <w:rsid w:val="51F416BA"/>
    <w:rsid w:val="51FF7286"/>
    <w:rsid w:val="5200056A"/>
    <w:rsid w:val="5207265A"/>
    <w:rsid w:val="521153DD"/>
    <w:rsid w:val="521418B2"/>
    <w:rsid w:val="52192E54"/>
    <w:rsid w:val="521A6B40"/>
    <w:rsid w:val="521C7DEC"/>
    <w:rsid w:val="522B700E"/>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8E6883"/>
    <w:rsid w:val="52907CE4"/>
    <w:rsid w:val="52934ED9"/>
    <w:rsid w:val="52962AB6"/>
    <w:rsid w:val="529820D1"/>
    <w:rsid w:val="529A4C30"/>
    <w:rsid w:val="529D3AD0"/>
    <w:rsid w:val="52A10DCE"/>
    <w:rsid w:val="52A61AD6"/>
    <w:rsid w:val="52A918AF"/>
    <w:rsid w:val="52AE33B1"/>
    <w:rsid w:val="52AE4D81"/>
    <w:rsid w:val="52B13F6B"/>
    <w:rsid w:val="52B27F37"/>
    <w:rsid w:val="52C3312F"/>
    <w:rsid w:val="52C41E43"/>
    <w:rsid w:val="52CB35C3"/>
    <w:rsid w:val="52CD534B"/>
    <w:rsid w:val="52D26F48"/>
    <w:rsid w:val="52D7371E"/>
    <w:rsid w:val="52D834B9"/>
    <w:rsid w:val="52DA335F"/>
    <w:rsid w:val="52EC055C"/>
    <w:rsid w:val="52F67C81"/>
    <w:rsid w:val="52F735D1"/>
    <w:rsid w:val="52FB6976"/>
    <w:rsid w:val="52FC3B4E"/>
    <w:rsid w:val="5304790E"/>
    <w:rsid w:val="53047CEB"/>
    <w:rsid w:val="530557E5"/>
    <w:rsid w:val="53060EA7"/>
    <w:rsid w:val="53096411"/>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542F4"/>
    <w:rsid w:val="53A756C3"/>
    <w:rsid w:val="53A75873"/>
    <w:rsid w:val="53AC7990"/>
    <w:rsid w:val="53B27316"/>
    <w:rsid w:val="53B425A2"/>
    <w:rsid w:val="53B47FF2"/>
    <w:rsid w:val="53B51C0D"/>
    <w:rsid w:val="53B53851"/>
    <w:rsid w:val="53B954D9"/>
    <w:rsid w:val="53BB6C30"/>
    <w:rsid w:val="53BC4F76"/>
    <w:rsid w:val="53BF6E4D"/>
    <w:rsid w:val="53C023FC"/>
    <w:rsid w:val="53CA6EA8"/>
    <w:rsid w:val="53D477B3"/>
    <w:rsid w:val="53D47B32"/>
    <w:rsid w:val="53D80CEA"/>
    <w:rsid w:val="53D86784"/>
    <w:rsid w:val="53E1263C"/>
    <w:rsid w:val="53EC5739"/>
    <w:rsid w:val="53EC7D4C"/>
    <w:rsid w:val="53EF53F8"/>
    <w:rsid w:val="53F060D3"/>
    <w:rsid w:val="53F3022B"/>
    <w:rsid w:val="53F54B80"/>
    <w:rsid w:val="53FC12EF"/>
    <w:rsid w:val="540026BD"/>
    <w:rsid w:val="54037A0D"/>
    <w:rsid w:val="540B324D"/>
    <w:rsid w:val="540B7A19"/>
    <w:rsid w:val="540D4DD6"/>
    <w:rsid w:val="540D6DFE"/>
    <w:rsid w:val="541372BB"/>
    <w:rsid w:val="54145659"/>
    <w:rsid w:val="54162DD8"/>
    <w:rsid w:val="541F56D1"/>
    <w:rsid w:val="54206D10"/>
    <w:rsid w:val="542748E5"/>
    <w:rsid w:val="54281C69"/>
    <w:rsid w:val="542B78EE"/>
    <w:rsid w:val="542D6443"/>
    <w:rsid w:val="542E5417"/>
    <w:rsid w:val="54312135"/>
    <w:rsid w:val="5438255E"/>
    <w:rsid w:val="543A7B51"/>
    <w:rsid w:val="54431413"/>
    <w:rsid w:val="54467196"/>
    <w:rsid w:val="544D270A"/>
    <w:rsid w:val="544E5195"/>
    <w:rsid w:val="544E7341"/>
    <w:rsid w:val="54516BF5"/>
    <w:rsid w:val="54537A4E"/>
    <w:rsid w:val="54557C1C"/>
    <w:rsid w:val="54565AB3"/>
    <w:rsid w:val="54586E42"/>
    <w:rsid w:val="545D7C1E"/>
    <w:rsid w:val="545F0C4D"/>
    <w:rsid w:val="54661107"/>
    <w:rsid w:val="54672CD4"/>
    <w:rsid w:val="547312A9"/>
    <w:rsid w:val="547475CB"/>
    <w:rsid w:val="547A47D8"/>
    <w:rsid w:val="547A5E91"/>
    <w:rsid w:val="54855995"/>
    <w:rsid w:val="548A4E03"/>
    <w:rsid w:val="5492780C"/>
    <w:rsid w:val="54956E77"/>
    <w:rsid w:val="54974693"/>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4FF4F48"/>
    <w:rsid w:val="55067A91"/>
    <w:rsid w:val="5507597C"/>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3130C"/>
    <w:rsid w:val="55B66D2E"/>
    <w:rsid w:val="55BB1464"/>
    <w:rsid w:val="55BE303B"/>
    <w:rsid w:val="55C86C57"/>
    <w:rsid w:val="55CD3698"/>
    <w:rsid w:val="55D73376"/>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9E1DC9"/>
    <w:rsid w:val="56A01322"/>
    <w:rsid w:val="56A27893"/>
    <w:rsid w:val="56A304D9"/>
    <w:rsid w:val="56A45DC2"/>
    <w:rsid w:val="56AF6C9F"/>
    <w:rsid w:val="56B8109C"/>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A5A43"/>
    <w:rsid w:val="56FB0BAB"/>
    <w:rsid w:val="57080827"/>
    <w:rsid w:val="570D4204"/>
    <w:rsid w:val="5711084C"/>
    <w:rsid w:val="57112AC8"/>
    <w:rsid w:val="57125F43"/>
    <w:rsid w:val="571473A3"/>
    <w:rsid w:val="57196CD6"/>
    <w:rsid w:val="5727583C"/>
    <w:rsid w:val="572C7B87"/>
    <w:rsid w:val="5734689E"/>
    <w:rsid w:val="57364585"/>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86FF0"/>
    <w:rsid w:val="57994242"/>
    <w:rsid w:val="579A3826"/>
    <w:rsid w:val="57A134A1"/>
    <w:rsid w:val="57A246E6"/>
    <w:rsid w:val="57A401C4"/>
    <w:rsid w:val="57A90A91"/>
    <w:rsid w:val="57A913FE"/>
    <w:rsid w:val="57AD1A5F"/>
    <w:rsid w:val="57AF7199"/>
    <w:rsid w:val="57B255F6"/>
    <w:rsid w:val="57B27F4E"/>
    <w:rsid w:val="57B61ADB"/>
    <w:rsid w:val="57B72DF4"/>
    <w:rsid w:val="57BB11B9"/>
    <w:rsid w:val="57C0151D"/>
    <w:rsid w:val="57C14748"/>
    <w:rsid w:val="57C30805"/>
    <w:rsid w:val="57C51A82"/>
    <w:rsid w:val="57CB091F"/>
    <w:rsid w:val="57D6465B"/>
    <w:rsid w:val="57DC28D9"/>
    <w:rsid w:val="57E43A4F"/>
    <w:rsid w:val="57EA75D6"/>
    <w:rsid w:val="57EC7ABD"/>
    <w:rsid w:val="57EF3C6A"/>
    <w:rsid w:val="57F008BC"/>
    <w:rsid w:val="57F155CB"/>
    <w:rsid w:val="57F279DE"/>
    <w:rsid w:val="57F56E7A"/>
    <w:rsid w:val="57F91E8B"/>
    <w:rsid w:val="57FC577E"/>
    <w:rsid w:val="57FD476D"/>
    <w:rsid w:val="58024C7F"/>
    <w:rsid w:val="58064DC8"/>
    <w:rsid w:val="580C58DD"/>
    <w:rsid w:val="58114939"/>
    <w:rsid w:val="581545D7"/>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1612B"/>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3E4F0D"/>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43CF0"/>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4E5A57"/>
    <w:rsid w:val="5A536B35"/>
    <w:rsid w:val="5A5407D2"/>
    <w:rsid w:val="5A554E02"/>
    <w:rsid w:val="5A565DC8"/>
    <w:rsid w:val="5A57679A"/>
    <w:rsid w:val="5A60367A"/>
    <w:rsid w:val="5A6338A8"/>
    <w:rsid w:val="5A633F59"/>
    <w:rsid w:val="5A6C2534"/>
    <w:rsid w:val="5A6E6B01"/>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CD111A"/>
    <w:rsid w:val="5BD17E46"/>
    <w:rsid w:val="5BDE3DC3"/>
    <w:rsid w:val="5BE1092E"/>
    <w:rsid w:val="5BE2378B"/>
    <w:rsid w:val="5BEB318B"/>
    <w:rsid w:val="5BEB5A0B"/>
    <w:rsid w:val="5BEC2285"/>
    <w:rsid w:val="5BF97D83"/>
    <w:rsid w:val="5BFA1A95"/>
    <w:rsid w:val="5BFB4AA1"/>
    <w:rsid w:val="5BFD39FA"/>
    <w:rsid w:val="5BFD6362"/>
    <w:rsid w:val="5C0347DA"/>
    <w:rsid w:val="5C071023"/>
    <w:rsid w:val="5C1362D3"/>
    <w:rsid w:val="5C144649"/>
    <w:rsid w:val="5C211940"/>
    <w:rsid w:val="5C23504C"/>
    <w:rsid w:val="5C2B38A5"/>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53E"/>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32308"/>
    <w:rsid w:val="5D43639A"/>
    <w:rsid w:val="5D4464FB"/>
    <w:rsid w:val="5D467BA7"/>
    <w:rsid w:val="5D4E6AD3"/>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D6BC4"/>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5095B"/>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8188C"/>
    <w:rsid w:val="5E2C695E"/>
    <w:rsid w:val="5E3676CF"/>
    <w:rsid w:val="5E3B0EF2"/>
    <w:rsid w:val="5E3B2AAC"/>
    <w:rsid w:val="5E4052F5"/>
    <w:rsid w:val="5E475B90"/>
    <w:rsid w:val="5E490299"/>
    <w:rsid w:val="5E4B6995"/>
    <w:rsid w:val="5E4F7336"/>
    <w:rsid w:val="5E531698"/>
    <w:rsid w:val="5E5C65F2"/>
    <w:rsid w:val="5E6100A9"/>
    <w:rsid w:val="5E610AF7"/>
    <w:rsid w:val="5E67568D"/>
    <w:rsid w:val="5E696614"/>
    <w:rsid w:val="5E697941"/>
    <w:rsid w:val="5E7877CB"/>
    <w:rsid w:val="5E794C04"/>
    <w:rsid w:val="5E795C99"/>
    <w:rsid w:val="5E7C2DBF"/>
    <w:rsid w:val="5E802BA9"/>
    <w:rsid w:val="5E891B83"/>
    <w:rsid w:val="5E924596"/>
    <w:rsid w:val="5E93418F"/>
    <w:rsid w:val="5E947B41"/>
    <w:rsid w:val="5E9C24EB"/>
    <w:rsid w:val="5EAC01E3"/>
    <w:rsid w:val="5EB400C3"/>
    <w:rsid w:val="5EB82055"/>
    <w:rsid w:val="5EB938EC"/>
    <w:rsid w:val="5EBF34DA"/>
    <w:rsid w:val="5EC309DA"/>
    <w:rsid w:val="5ECB3F99"/>
    <w:rsid w:val="5ECD3498"/>
    <w:rsid w:val="5ED70F57"/>
    <w:rsid w:val="5ED933D7"/>
    <w:rsid w:val="5EDD6588"/>
    <w:rsid w:val="5EE35981"/>
    <w:rsid w:val="5EE75B30"/>
    <w:rsid w:val="5EE75CEA"/>
    <w:rsid w:val="5EEB22CF"/>
    <w:rsid w:val="5EF53E3A"/>
    <w:rsid w:val="5EF96054"/>
    <w:rsid w:val="5EFB466D"/>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40C8E"/>
    <w:rsid w:val="5F365AC4"/>
    <w:rsid w:val="5F3809A2"/>
    <w:rsid w:val="5F425E0E"/>
    <w:rsid w:val="5F456860"/>
    <w:rsid w:val="5F497236"/>
    <w:rsid w:val="5F4D5E87"/>
    <w:rsid w:val="5F561440"/>
    <w:rsid w:val="5F565D66"/>
    <w:rsid w:val="5F5A6C52"/>
    <w:rsid w:val="5F5D2776"/>
    <w:rsid w:val="5F615247"/>
    <w:rsid w:val="5F6A5A0A"/>
    <w:rsid w:val="5F73758B"/>
    <w:rsid w:val="5F794462"/>
    <w:rsid w:val="5F796C02"/>
    <w:rsid w:val="5F7A3813"/>
    <w:rsid w:val="5F7B787C"/>
    <w:rsid w:val="5F7C348D"/>
    <w:rsid w:val="5F7D2DFF"/>
    <w:rsid w:val="5F8445F2"/>
    <w:rsid w:val="5F8E07ED"/>
    <w:rsid w:val="5F9D5EA1"/>
    <w:rsid w:val="5F9D7BCF"/>
    <w:rsid w:val="5FA03264"/>
    <w:rsid w:val="5FA06CEB"/>
    <w:rsid w:val="5FA474BD"/>
    <w:rsid w:val="5FA6486B"/>
    <w:rsid w:val="5FA67313"/>
    <w:rsid w:val="5FAA583B"/>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63A30"/>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8F6D1B"/>
    <w:rsid w:val="60934A43"/>
    <w:rsid w:val="609457A2"/>
    <w:rsid w:val="609542E0"/>
    <w:rsid w:val="609C313D"/>
    <w:rsid w:val="60A2181A"/>
    <w:rsid w:val="60A759FE"/>
    <w:rsid w:val="60B17E63"/>
    <w:rsid w:val="60B40EFB"/>
    <w:rsid w:val="60BA3688"/>
    <w:rsid w:val="60BE3A10"/>
    <w:rsid w:val="60BE7F1C"/>
    <w:rsid w:val="60C00D53"/>
    <w:rsid w:val="60C41F6D"/>
    <w:rsid w:val="60C66A6E"/>
    <w:rsid w:val="60CB2759"/>
    <w:rsid w:val="60CC32AC"/>
    <w:rsid w:val="60D44DA5"/>
    <w:rsid w:val="60DC2AE2"/>
    <w:rsid w:val="60DE494B"/>
    <w:rsid w:val="60E0373A"/>
    <w:rsid w:val="60E264E0"/>
    <w:rsid w:val="60E33A55"/>
    <w:rsid w:val="60E43BF8"/>
    <w:rsid w:val="60EF18DB"/>
    <w:rsid w:val="60F65117"/>
    <w:rsid w:val="60F87843"/>
    <w:rsid w:val="61043A4B"/>
    <w:rsid w:val="6108383E"/>
    <w:rsid w:val="610C0BE1"/>
    <w:rsid w:val="610F24C5"/>
    <w:rsid w:val="611013A5"/>
    <w:rsid w:val="61106AAF"/>
    <w:rsid w:val="6111106A"/>
    <w:rsid w:val="611C718C"/>
    <w:rsid w:val="612C243F"/>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4188A"/>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2D11B6"/>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6751B"/>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460CA"/>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DE0033"/>
    <w:rsid w:val="62E20E3A"/>
    <w:rsid w:val="62E43A33"/>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77559"/>
    <w:rsid w:val="635A23C4"/>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05D14"/>
    <w:rsid w:val="63D20AC1"/>
    <w:rsid w:val="63D22280"/>
    <w:rsid w:val="63D27499"/>
    <w:rsid w:val="63D42C64"/>
    <w:rsid w:val="63D5496E"/>
    <w:rsid w:val="63DB3555"/>
    <w:rsid w:val="63DD5AA5"/>
    <w:rsid w:val="63E5329A"/>
    <w:rsid w:val="63EF4DEA"/>
    <w:rsid w:val="63F02D8E"/>
    <w:rsid w:val="63F36307"/>
    <w:rsid w:val="63F877DE"/>
    <w:rsid w:val="63FA2FBB"/>
    <w:rsid w:val="63FC7DDB"/>
    <w:rsid w:val="63FE4857"/>
    <w:rsid w:val="63FF21E8"/>
    <w:rsid w:val="6400198D"/>
    <w:rsid w:val="64034D1D"/>
    <w:rsid w:val="640745EF"/>
    <w:rsid w:val="640A5CCA"/>
    <w:rsid w:val="640B377F"/>
    <w:rsid w:val="641276E2"/>
    <w:rsid w:val="64136CF4"/>
    <w:rsid w:val="6414288E"/>
    <w:rsid w:val="64175C13"/>
    <w:rsid w:val="641F6CFF"/>
    <w:rsid w:val="642202BD"/>
    <w:rsid w:val="64271F5D"/>
    <w:rsid w:val="64391AAD"/>
    <w:rsid w:val="643E383F"/>
    <w:rsid w:val="644237D6"/>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55B9C"/>
    <w:rsid w:val="64A56509"/>
    <w:rsid w:val="64AF6A15"/>
    <w:rsid w:val="64B45B17"/>
    <w:rsid w:val="64B8420D"/>
    <w:rsid w:val="64B87A46"/>
    <w:rsid w:val="64B93D24"/>
    <w:rsid w:val="64C01A1B"/>
    <w:rsid w:val="64C52B55"/>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2B3A3A"/>
    <w:rsid w:val="6531370D"/>
    <w:rsid w:val="653208EA"/>
    <w:rsid w:val="653331D8"/>
    <w:rsid w:val="65381A6A"/>
    <w:rsid w:val="653D4722"/>
    <w:rsid w:val="653E21A6"/>
    <w:rsid w:val="654005B7"/>
    <w:rsid w:val="654051D8"/>
    <w:rsid w:val="65434DA0"/>
    <w:rsid w:val="65444F22"/>
    <w:rsid w:val="65445FE4"/>
    <w:rsid w:val="65464395"/>
    <w:rsid w:val="6547108D"/>
    <w:rsid w:val="65484DE3"/>
    <w:rsid w:val="655E2E69"/>
    <w:rsid w:val="65620CDF"/>
    <w:rsid w:val="656763D3"/>
    <w:rsid w:val="656A2B47"/>
    <w:rsid w:val="656E5FF8"/>
    <w:rsid w:val="65712353"/>
    <w:rsid w:val="65755AA9"/>
    <w:rsid w:val="657701D4"/>
    <w:rsid w:val="657763D1"/>
    <w:rsid w:val="6577679C"/>
    <w:rsid w:val="657D17DD"/>
    <w:rsid w:val="65807AD8"/>
    <w:rsid w:val="65822FE0"/>
    <w:rsid w:val="65852CB4"/>
    <w:rsid w:val="65886C99"/>
    <w:rsid w:val="658B3278"/>
    <w:rsid w:val="658B4DD9"/>
    <w:rsid w:val="659B3091"/>
    <w:rsid w:val="65A16EE2"/>
    <w:rsid w:val="65A824E8"/>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46715"/>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56B3E"/>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543C2"/>
    <w:rsid w:val="66F826EE"/>
    <w:rsid w:val="66FD35F4"/>
    <w:rsid w:val="66FD6B9E"/>
    <w:rsid w:val="67016A4B"/>
    <w:rsid w:val="6706719A"/>
    <w:rsid w:val="670731E0"/>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D723F"/>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DC44A0"/>
    <w:rsid w:val="67E30381"/>
    <w:rsid w:val="67E52885"/>
    <w:rsid w:val="67E81682"/>
    <w:rsid w:val="67E86538"/>
    <w:rsid w:val="67E96C00"/>
    <w:rsid w:val="67EA07C1"/>
    <w:rsid w:val="67EE61ED"/>
    <w:rsid w:val="67F43FF6"/>
    <w:rsid w:val="67FC5BF8"/>
    <w:rsid w:val="68033D7F"/>
    <w:rsid w:val="6807753D"/>
    <w:rsid w:val="680B0752"/>
    <w:rsid w:val="6813706E"/>
    <w:rsid w:val="68137949"/>
    <w:rsid w:val="68206C4A"/>
    <w:rsid w:val="68222015"/>
    <w:rsid w:val="68223ABA"/>
    <w:rsid w:val="68240567"/>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0BE9"/>
    <w:rsid w:val="69335D49"/>
    <w:rsid w:val="693915C0"/>
    <w:rsid w:val="6946481A"/>
    <w:rsid w:val="694F2305"/>
    <w:rsid w:val="69536376"/>
    <w:rsid w:val="69552E6A"/>
    <w:rsid w:val="695A0E50"/>
    <w:rsid w:val="695D425A"/>
    <w:rsid w:val="69611823"/>
    <w:rsid w:val="696162DF"/>
    <w:rsid w:val="69675884"/>
    <w:rsid w:val="696A04A9"/>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2C4A22"/>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6303B"/>
    <w:rsid w:val="6A6A5B24"/>
    <w:rsid w:val="6A722D01"/>
    <w:rsid w:val="6A7E3F26"/>
    <w:rsid w:val="6A842F61"/>
    <w:rsid w:val="6A872E22"/>
    <w:rsid w:val="6A8A6E92"/>
    <w:rsid w:val="6A8B2847"/>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C30F7"/>
    <w:rsid w:val="6B2F28E2"/>
    <w:rsid w:val="6B3C0516"/>
    <w:rsid w:val="6B401638"/>
    <w:rsid w:val="6B4058E5"/>
    <w:rsid w:val="6B4157C6"/>
    <w:rsid w:val="6B465969"/>
    <w:rsid w:val="6B4A6769"/>
    <w:rsid w:val="6B5E5F25"/>
    <w:rsid w:val="6B647694"/>
    <w:rsid w:val="6B666A66"/>
    <w:rsid w:val="6B687879"/>
    <w:rsid w:val="6B6C74E1"/>
    <w:rsid w:val="6B713FC1"/>
    <w:rsid w:val="6B7357C3"/>
    <w:rsid w:val="6B7B270E"/>
    <w:rsid w:val="6B7F2048"/>
    <w:rsid w:val="6B832B21"/>
    <w:rsid w:val="6B864EDB"/>
    <w:rsid w:val="6B867E5C"/>
    <w:rsid w:val="6B88607A"/>
    <w:rsid w:val="6B8F26C7"/>
    <w:rsid w:val="6B9150FF"/>
    <w:rsid w:val="6B946BF3"/>
    <w:rsid w:val="6B9B7B76"/>
    <w:rsid w:val="6BA2350F"/>
    <w:rsid w:val="6BA31178"/>
    <w:rsid w:val="6BB2108D"/>
    <w:rsid w:val="6BBA4ECD"/>
    <w:rsid w:val="6BCE7BDD"/>
    <w:rsid w:val="6BD0504C"/>
    <w:rsid w:val="6BD4209E"/>
    <w:rsid w:val="6BD639FA"/>
    <w:rsid w:val="6BD82F70"/>
    <w:rsid w:val="6BDB61D4"/>
    <w:rsid w:val="6BE107A9"/>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80CEB"/>
    <w:rsid w:val="6C1E565E"/>
    <w:rsid w:val="6C2072BF"/>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590516"/>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4436E"/>
    <w:rsid w:val="6CA7502F"/>
    <w:rsid w:val="6CB24E6C"/>
    <w:rsid w:val="6CB41408"/>
    <w:rsid w:val="6CB46B8A"/>
    <w:rsid w:val="6CB64445"/>
    <w:rsid w:val="6CB75B32"/>
    <w:rsid w:val="6CBB71BB"/>
    <w:rsid w:val="6CBC65F7"/>
    <w:rsid w:val="6CBE322E"/>
    <w:rsid w:val="6CBF3FD9"/>
    <w:rsid w:val="6CC328D3"/>
    <w:rsid w:val="6CC97063"/>
    <w:rsid w:val="6CCB0028"/>
    <w:rsid w:val="6CCB0C6B"/>
    <w:rsid w:val="6CCB2D0A"/>
    <w:rsid w:val="6CCF1159"/>
    <w:rsid w:val="6CD11253"/>
    <w:rsid w:val="6CD217F1"/>
    <w:rsid w:val="6CD501EC"/>
    <w:rsid w:val="6CE80C75"/>
    <w:rsid w:val="6CF0094D"/>
    <w:rsid w:val="6D052816"/>
    <w:rsid w:val="6D070F6E"/>
    <w:rsid w:val="6D0A4909"/>
    <w:rsid w:val="6D116339"/>
    <w:rsid w:val="6D1C0D1C"/>
    <w:rsid w:val="6D23170F"/>
    <w:rsid w:val="6D253611"/>
    <w:rsid w:val="6D3166E2"/>
    <w:rsid w:val="6D330BE7"/>
    <w:rsid w:val="6D3326A9"/>
    <w:rsid w:val="6D3760E1"/>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B3EBD"/>
    <w:rsid w:val="6D6E7693"/>
    <w:rsid w:val="6D702EBB"/>
    <w:rsid w:val="6D7302DF"/>
    <w:rsid w:val="6D804AB6"/>
    <w:rsid w:val="6D8051E1"/>
    <w:rsid w:val="6D834E2B"/>
    <w:rsid w:val="6D84000B"/>
    <w:rsid w:val="6D8D2542"/>
    <w:rsid w:val="6D8F0737"/>
    <w:rsid w:val="6D91032E"/>
    <w:rsid w:val="6D9A7080"/>
    <w:rsid w:val="6DA434FE"/>
    <w:rsid w:val="6DA83E5F"/>
    <w:rsid w:val="6DA86646"/>
    <w:rsid w:val="6DAE1C38"/>
    <w:rsid w:val="6DB2070A"/>
    <w:rsid w:val="6DB7599D"/>
    <w:rsid w:val="6DC12404"/>
    <w:rsid w:val="6DC24126"/>
    <w:rsid w:val="6DC3540E"/>
    <w:rsid w:val="6DC96A9D"/>
    <w:rsid w:val="6DCD448E"/>
    <w:rsid w:val="6DD53FF8"/>
    <w:rsid w:val="6DD65E32"/>
    <w:rsid w:val="6DD829F0"/>
    <w:rsid w:val="6DDD79FB"/>
    <w:rsid w:val="6DDF7647"/>
    <w:rsid w:val="6DE36825"/>
    <w:rsid w:val="6DE53394"/>
    <w:rsid w:val="6DE70C3E"/>
    <w:rsid w:val="6DE7336C"/>
    <w:rsid w:val="6DFC7B9F"/>
    <w:rsid w:val="6E0760D0"/>
    <w:rsid w:val="6E0927C5"/>
    <w:rsid w:val="6E094D8B"/>
    <w:rsid w:val="6E1003B9"/>
    <w:rsid w:val="6E107BBB"/>
    <w:rsid w:val="6E1158BA"/>
    <w:rsid w:val="6E185997"/>
    <w:rsid w:val="6E1A373A"/>
    <w:rsid w:val="6E1A7481"/>
    <w:rsid w:val="6E1B105E"/>
    <w:rsid w:val="6E1E2175"/>
    <w:rsid w:val="6E1F5D69"/>
    <w:rsid w:val="6E220C97"/>
    <w:rsid w:val="6E224A5B"/>
    <w:rsid w:val="6E266728"/>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3A92"/>
    <w:rsid w:val="6E912F38"/>
    <w:rsid w:val="6E921DA1"/>
    <w:rsid w:val="6E930F0E"/>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7BF9"/>
    <w:rsid w:val="6ED96A02"/>
    <w:rsid w:val="6EDC7E1D"/>
    <w:rsid w:val="6EDF7C9D"/>
    <w:rsid w:val="6EEA4297"/>
    <w:rsid w:val="6EEF4FE0"/>
    <w:rsid w:val="6EF00518"/>
    <w:rsid w:val="6EF0367C"/>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40F5B"/>
    <w:rsid w:val="70490D6C"/>
    <w:rsid w:val="70517927"/>
    <w:rsid w:val="70552E12"/>
    <w:rsid w:val="70691205"/>
    <w:rsid w:val="706B38CF"/>
    <w:rsid w:val="706B49E5"/>
    <w:rsid w:val="706F6FD3"/>
    <w:rsid w:val="70704FB3"/>
    <w:rsid w:val="707118E2"/>
    <w:rsid w:val="70757D6F"/>
    <w:rsid w:val="707B7148"/>
    <w:rsid w:val="707F3C4D"/>
    <w:rsid w:val="70886494"/>
    <w:rsid w:val="70893CAF"/>
    <w:rsid w:val="709257D1"/>
    <w:rsid w:val="709473D0"/>
    <w:rsid w:val="709A12DB"/>
    <w:rsid w:val="70A43C84"/>
    <w:rsid w:val="70A86AB1"/>
    <w:rsid w:val="70A963CF"/>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72A32"/>
    <w:rsid w:val="71184333"/>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9519A"/>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E197C"/>
    <w:rsid w:val="72BF7F25"/>
    <w:rsid w:val="72C8603B"/>
    <w:rsid w:val="72CB2534"/>
    <w:rsid w:val="72CC125D"/>
    <w:rsid w:val="72CE1997"/>
    <w:rsid w:val="72D006F0"/>
    <w:rsid w:val="72D175CF"/>
    <w:rsid w:val="72D91102"/>
    <w:rsid w:val="72DD74F0"/>
    <w:rsid w:val="72E27A0E"/>
    <w:rsid w:val="72EF09E9"/>
    <w:rsid w:val="72F0664A"/>
    <w:rsid w:val="72F66B42"/>
    <w:rsid w:val="72FC45F3"/>
    <w:rsid w:val="72FE328E"/>
    <w:rsid w:val="72FE7704"/>
    <w:rsid w:val="73013EEC"/>
    <w:rsid w:val="73034A50"/>
    <w:rsid w:val="730462D7"/>
    <w:rsid w:val="7306194D"/>
    <w:rsid w:val="730A0BC9"/>
    <w:rsid w:val="730A6102"/>
    <w:rsid w:val="731138D8"/>
    <w:rsid w:val="73153633"/>
    <w:rsid w:val="73164B45"/>
    <w:rsid w:val="7316638E"/>
    <w:rsid w:val="73167058"/>
    <w:rsid w:val="731838D8"/>
    <w:rsid w:val="731C06A9"/>
    <w:rsid w:val="732131B7"/>
    <w:rsid w:val="7323676E"/>
    <w:rsid w:val="7325549A"/>
    <w:rsid w:val="7325632D"/>
    <w:rsid w:val="732A0EF5"/>
    <w:rsid w:val="732B6C64"/>
    <w:rsid w:val="73305690"/>
    <w:rsid w:val="73333891"/>
    <w:rsid w:val="7335267B"/>
    <w:rsid w:val="73376E47"/>
    <w:rsid w:val="733B6C99"/>
    <w:rsid w:val="734059E5"/>
    <w:rsid w:val="73496581"/>
    <w:rsid w:val="734B3123"/>
    <w:rsid w:val="734B523B"/>
    <w:rsid w:val="734D0D39"/>
    <w:rsid w:val="734E7A6A"/>
    <w:rsid w:val="734F5332"/>
    <w:rsid w:val="73556D78"/>
    <w:rsid w:val="7359132D"/>
    <w:rsid w:val="7360323F"/>
    <w:rsid w:val="736655A7"/>
    <w:rsid w:val="73700038"/>
    <w:rsid w:val="73714632"/>
    <w:rsid w:val="73753ED3"/>
    <w:rsid w:val="737574F6"/>
    <w:rsid w:val="737963FA"/>
    <w:rsid w:val="737A26A7"/>
    <w:rsid w:val="73887897"/>
    <w:rsid w:val="738E6B9C"/>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04530"/>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3C283A"/>
    <w:rsid w:val="74410C1E"/>
    <w:rsid w:val="744810E9"/>
    <w:rsid w:val="74525205"/>
    <w:rsid w:val="745471DF"/>
    <w:rsid w:val="745D77C8"/>
    <w:rsid w:val="74621861"/>
    <w:rsid w:val="74641C05"/>
    <w:rsid w:val="74663D42"/>
    <w:rsid w:val="746718EB"/>
    <w:rsid w:val="746D2128"/>
    <w:rsid w:val="746D50DA"/>
    <w:rsid w:val="746F7244"/>
    <w:rsid w:val="7471001B"/>
    <w:rsid w:val="74716A08"/>
    <w:rsid w:val="747704E2"/>
    <w:rsid w:val="747A6F58"/>
    <w:rsid w:val="747B7F4A"/>
    <w:rsid w:val="747C4DE9"/>
    <w:rsid w:val="74806D03"/>
    <w:rsid w:val="74813EEA"/>
    <w:rsid w:val="7488600A"/>
    <w:rsid w:val="74886C9D"/>
    <w:rsid w:val="748D4CA1"/>
    <w:rsid w:val="748E40CB"/>
    <w:rsid w:val="74902902"/>
    <w:rsid w:val="74905AB6"/>
    <w:rsid w:val="7495489B"/>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210929"/>
    <w:rsid w:val="752769BB"/>
    <w:rsid w:val="752A7B48"/>
    <w:rsid w:val="752D5945"/>
    <w:rsid w:val="75301430"/>
    <w:rsid w:val="75303C91"/>
    <w:rsid w:val="7534510A"/>
    <w:rsid w:val="75353189"/>
    <w:rsid w:val="753A1E42"/>
    <w:rsid w:val="7540251A"/>
    <w:rsid w:val="75413000"/>
    <w:rsid w:val="75437BF3"/>
    <w:rsid w:val="75492CDC"/>
    <w:rsid w:val="75501785"/>
    <w:rsid w:val="75522634"/>
    <w:rsid w:val="75524DDA"/>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571D9"/>
    <w:rsid w:val="75AD4917"/>
    <w:rsid w:val="75AD4F3F"/>
    <w:rsid w:val="75AD5DED"/>
    <w:rsid w:val="75AD6B4D"/>
    <w:rsid w:val="75B57B03"/>
    <w:rsid w:val="75B7184F"/>
    <w:rsid w:val="75C14F57"/>
    <w:rsid w:val="75C1696E"/>
    <w:rsid w:val="75C64C82"/>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249CE"/>
    <w:rsid w:val="76330CEC"/>
    <w:rsid w:val="76347E97"/>
    <w:rsid w:val="763936E8"/>
    <w:rsid w:val="763E49DF"/>
    <w:rsid w:val="763F2481"/>
    <w:rsid w:val="764B1774"/>
    <w:rsid w:val="76510AF5"/>
    <w:rsid w:val="765510D9"/>
    <w:rsid w:val="7655596E"/>
    <w:rsid w:val="76634ABB"/>
    <w:rsid w:val="76685A5F"/>
    <w:rsid w:val="766E149C"/>
    <w:rsid w:val="76704A90"/>
    <w:rsid w:val="76710F59"/>
    <w:rsid w:val="76731704"/>
    <w:rsid w:val="76784D9A"/>
    <w:rsid w:val="76791577"/>
    <w:rsid w:val="767A1571"/>
    <w:rsid w:val="767B25BB"/>
    <w:rsid w:val="767B346C"/>
    <w:rsid w:val="767E2490"/>
    <w:rsid w:val="76800D5B"/>
    <w:rsid w:val="76853765"/>
    <w:rsid w:val="768564D7"/>
    <w:rsid w:val="768C4DE1"/>
    <w:rsid w:val="768C5C43"/>
    <w:rsid w:val="768C7785"/>
    <w:rsid w:val="768F472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6270A"/>
    <w:rsid w:val="77184032"/>
    <w:rsid w:val="771A79EE"/>
    <w:rsid w:val="772209CB"/>
    <w:rsid w:val="7723195D"/>
    <w:rsid w:val="772A1315"/>
    <w:rsid w:val="7734235A"/>
    <w:rsid w:val="77342932"/>
    <w:rsid w:val="773522A4"/>
    <w:rsid w:val="773D2B51"/>
    <w:rsid w:val="773F59CC"/>
    <w:rsid w:val="774A138E"/>
    <w:rsid w:val="774E7377"/>
    <w:rsid w:val="774F2C47"/>
    <w:rsid w:val="774F5379"/>
    <w:rsid w:val="77506664"/>
    <w:rsid w:val="77531C2A"/>
    <w:rsid w:val="77537360"/>
    <w:rsid w:val="77570DA5"/>
    <w:rsid w:val="77583047"/>
    <w:rsid w:val="775A67F8"/>
    <w:rsid w:val="775D0DCF"/>
    <w:rsid w:val="77655314"/>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47BF7"/>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B6A4F"/>
    <w:rsid w:val="78290D02"/>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AD0D88"/>
    <w:rsid w:val="78BB450B"/>
    <w:rsid w:val="78BE4DB9"/>
    <w:rsid w:val="78C54E82"/>
    <w:rsid w:val="78C60ED3"/>
    <w:rsid w:val="78C6582A"/>
    <w:rsid w:val="78C709C2"/>
    <w:rsid w:val="78C97472"/>
    <w:rsid w:val="78CC3EB3"/>
    <w:rsid w:val="78D23B7E"/>
    <w:rsid w:val="78E10719"/>
    <w:rsid w:val="78F14E36"/>
    <w:rsid w:val="78FA2B4F"/>
    <w:rsid w:val="78FB7710"/>
    <w:rsid w:val="790603B8"/>
    <w:rsid w:val="79081CD5"/>
    <w:rsid w:val="790C2CCB"/>
    <w:rsid w:val="791035E5"/>
    <w:rsid w:val="79114969"/>
    <w:rsid w:val="79165737"/>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074E5"/>
    <w:rsid w:val="797140B6"/>
    <w:rsid w:val="79734775"/>
    <w:rsid w:val="7975414F"/>
    <w:rsid w:val="79792797"/>
    <w:rsid w:val="79793509"/>
    <w:rsid w:val="797A0ED7"/>
    <w:rsid w:val="797B64FD"/>
    <w:rsid w:val="797B6D10"/>
    <w:rsid w:val="797E2411"/>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EF00FA"/>
    <w:rsid w:val="79F4787F"/>
    <w:rsid w:val="79F73FC2"/>
    <w:rsid w:val="79F87602"/>
    <w:rsid w:val="79FA136D"/>
    <w:rsid w:val="79FD3BCB"/>
    <w:rsid w:val="7A040D63"/>
    <w:rsid w:val="7A05786A"/>
    <w:rsid w:val="7A077394"/>
    <w:rsid w:val="7A0D7065"/>
    <w:rsid w:val="7A195FFA"/>
    <w:rsid w:val="7A1A0922"/>
    <w:rsid w:val="7A1B3F1C"/>
    <w:rsid w:val="7A200264"/>
    <w:rsid w:val="7A23724A"/>
    <w:rsid w:val="7A25754C"/>
    <w:rsid w:val="7A271E15"/>
    <w:rsid w:val="7A283BF5"/>
    <w:rsid w:val="7A2F4BCF"/>
    <w:rsid w:val="7A2F717B"/>
    <w:rsid w:val="7A315A3E"/>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E2EC8"/>
    <w:rsid w:val="7A7F7981"/>
    <w:rsid w:val="7A821419"/>
    <w:rsid w:val="7A831E06"/>
    <w:rsid w:val="7A835F29"/>
    <w:rsid w:val="7A874FD1"/>
    <w:rsid w:val="7A8828BD"/>
    <w:rsid w:val="7A9143C1"/>
    <w:rsid w:val="7AAB2D5F"/>
    <w:rsid w:val="7AAC38E0"/>
    <w:rsid w:val="7ABF10D1"/>
    <w:rsid w:val="7AC03E60"/>
    <w:rsid w:val="7AC36589"/>
    <w:rsid w:val="7AC743A7"/>
    <w:rsid w:val="7ACC5D32"/>
    <w:rsid w:val="7AD4116B"/>
    <w:rsid w:val="7AD44B8A"/>
    <w:rsid w:val="7AD75598"/>
    <w:rsid w:val="7ADA08CB"/>
    <w:rsid w:val="7ADE7D20"/>
    <w:rsid w:val="7AE16BF9"/>
    <w:rsid w:val="7AE6530E"/>
    <w:rsid w:val="7AEF0262"/>
    <w:rsid w:val="7AF70369"/>
    <w:rsid w:val="7B0A1118"/>
    <w:rsid w:val="7B111DBF"/>
    <w:rsid w:val="7B1523B1"/>
    <w:rsid w:val="7B1846E5"/>
    <w:rsid w:val="7B1C2184"/>
    <w:rsid w:val="7B287AC2"/>
    <w:rsid w:val="7B2B2FA5"/>
    <w:rsid w:val="7B2D37CA"/>
    <w:rsid w:val="7B3C08D4"/>
    <w:rsid w:val="7B4567D4"/>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D527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C7B96"/>
    <w:rsid w:val="7C4E5B95"/>
    <w:rsid w:val="7C50383B"/>
    <w:rsid w:val="7C5576F9"/>
    <w:rsid w:val="7C5663FA"/>
    <w:rsid w:val="7C570F3D"/>
    <w:rsid w:val="7C591703"/>
    <w:rsid w:val="7C5A5B18"/>
    <w:rsid w:val="7C5C7FCF"/>
    <w:rsid w:val="7C610FBE"/>
    <w:rsid w:val="7C674632"/>
    <w:rsid w:val="7C6E1C0C"/>
    <w:rsid w:val="7C744B61"/>
    <w:rsid w:val="7C775234"/>
    <w:rsid w:val="7C7877B6"/>
    <w:rsid w:val="7C7A54B9"/>
    <w:rsid w:val="7C7A5EE0"/>
    <w:rsid w:val="7C7B7CC3"/>
    <w:rsid w:val="7C8645A7"/>
    <w:rsid w:val="7C86509E"/>
    <w:rsid w:val="7C870524"/>
    <w:rsid w:val="7C8C7264"/>
    <w:rsid w:val="7C911FF6"/>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ED0425"/>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43EC4"/>
    <w:rsid w:val="7D566E36"/>
    <w:rsid w:val="7D59513D"/>
    <w:rsid w:val="7D5A5E01"/>
    <w:rsid w:val="7D5F1874"/>
    <w:rsid w:val="7D603623"/>
    <w:rsid w:val="7D6579C4"/>
    <w:rsid w:val="7D6C3864"/>
    <w:rsid w:val="7D6E7EDC"/>
    <w:rsid w:val="7D734F41"/>
    <w:rsid w:val="7D74296A"/>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C4F77"/>
    <w:rsid w:val="7DDD1297"/>
    <w:rsid w:val="7DDE1D84"/>
    <w:rsid w:val="7DE03DEE"/>
    <w:rsid w:val="7DED0AE3"/>
    <w:rsid w:val="7DED452F"/>
    <w:rsid w:val="7DEF23BD"/>
    <w:rsid w:val="7DF06314"/>
    <w:rsid w:val="7DF92F2D"/>
    <w:rsid w:val="7DF9609A"/>
    <w:rsid w:val="7DFA7C32"/>
    <w:rsid w:val="7DFB62BF"/>
    <w:rsid w:val="7DFE6EA1"/>
    <w:rsid w:val="7E042398"/>
    <w:rsid w:val="7E064420"/>
    <w:rsid w:val="7E072A2D"/>
    <w:rsid w:val="7E08013C"/>
    <w:rsid w:val="7E0A5496"/>
    <w:rsid w:val="7E0C2854"/>
    <w:rsid w:val="7E0E1198"/>
    <w:rsid w:val="7E13004E"/>
    <w:rsid w:val="7E165384"/>
    <w:rsid w:val="7E171CC0"/>
    <w:rsid w:val="7E17208D"/>
    <w:rsid w:val="7E1B6E9F"/>
    <w:rsid w:val="7E1C7387"/>
    <w:rsid w:val="7E1D54AF"/>
    <w:rsid w:val="7E235D96"/>
    <w:rsid w:val="7E2D414D"/>
    <w:rsid w:val="7E2D53BF"/>
    <w:rsid w:val="7E2F4A5F"/>
    <w:rsid w:val="7E327A15"/>
    <w:rsid w:val="7E375DC9"/>
    <w:rsid w:val="7E3D2B8F"/>
    <w:rsid w:val="7E403F72"/>
    <w:rsid w:val="7E4854DF"/>
    <w:rsid w:val="7E525403"/>
    <w:rsid w:val="7E5B6848"/>
    <w:rsid w:val="7E665777"/>
    <w:rsid w:val="7E67389E"/>
    <w:rsid w:val="7E685078"/>
    <w:rsid w:val="7E695545"/>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76B67"/>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66AEB"/>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4</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2022-01-10T13:02:01Z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